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eastAsia="Aptos Display" w:cs="Aptos Display"/>
          <w:b/>
          <w:color w:val="1F2D3D"/>
          <w:sz w:val="48"/>
        </w:rPr>
        <w:t>BazaarBridge Marketplace Operations — Eval Report</w:t>
      </w:r>
    </w:p>
    <w:p>
      <w:pPr>
        <w:spacing w:after="40"/>
      </w:pPr>
      <w:r>
        <w:rPr>
          <w:rFonts w:ascii="Aptos" w:hAnsi="Aptos" w:eastAsia="Aptos" w:cs="Aptos"/>
          <w:b/>
          <w:color w:val="1F2D3D"/>
          <w:sz w:val="21"/>
        </w:rPr>
        <w:t>Full-stack marketplace operations task · Model evaluation vs golden oracle</w:t>
      </w:r>
    </w:p>
    <w:p>
      <w:r>
        <w:rPr>
          <w:rFonts w:ascii="Aptos" w:hAnsi="Aptos" w:eastAsia="Aptos" w:cs="Aptos"/>
          <w:color w:val="4F5962"/>
          <w:sz w:val="18"/>
        </w:rPr>
        <w:t>Runs: bazaarbridge-marketplace__afiubwn · bazaarbridge-marketplace__cEWQgKx · task checksum did not match</w:t>
      </w:r>
    </w:p>
    <w:p>
      <w:pPr>
        <w:pStyle w:val="Heading2"/>
        <w:keepNext/>
      </w:pPr>
      <w:r>
        <w:rPr>
          <w:rFonts w:ascii="Aptos" w:hAnsi="Aptos" w:eastAsia="Aptos" w:cs="Aptos"/>
          <w:b/>
          <w:color w:val="235D91"/>
          <w:sz w:val="28"/>
        </w:rPr>
        <w:t>Title</w:t>
      </w:r>
    </w:p>
    <w:p>
      <w:r>
        <w:rPr>
          <w:rFonts w:ascii="Aptos" w:hAnsi="Aptos" w:eastAsia="Aptos" w:cs="Aptos"/>
          <w:color w:val="191919"/>
          <w:sz w:val="21"/>
        </w:rPr>
        <w:t>BazaarBridge Marketplace Operations — Harbor Web Development Evaluation</w:t>
      </w:r>
    </w:p>
    <w:p>
      <w:pPr>
        <w:pStyle w:val="Heading2"/>
        <w:keepNext/>
      </w:pPr>
      <w:r>
        <w:rPr>
          <w:rFonts w:ascii="Aptos" w:hAnsi="Aptos" w:eastAsia="Aptos" w:cs="Aptos"/>
          <w:b/>
          <w:color w:val="235D91"/>
          <w:sz w:val="28"/>
        </w:rPr>
        <w:t>Description</w:t>
      </w:r>
    </w:p>
    <w:p>
      <w:r>
        <w:rPr>
          <w:rFonts w:ascii="Aptos" w:hAnsi="Aptos" w:eastAsia="Aptos" w:cs="Aptos"/>
          <w:color w:val="191919"/>
          <w:sz w:val="21"/>
        </w:rPr>
        <w:t>Build a server-backed, durable multi-vendor marketplace operations application with authenticated Dashboard, Orders, Inventory, and Payouts workspaces; role-scoped writes; live operational metrics; settlement arithmetic; and resilient desktop/mobile interaction.</w:t>
      </w:r>
    </w:p>
    <w:p>
      <w:pPr>
        <w:pStyle w:val="Heading2"/>
        <w:keepNext/>
      </w:pPr>
      <w:r>
        <w:rPr>
          <w:rFonts w:ascii="Aptos" w:hAnsi="Aptos" w:eastAsia="Aptos" w:cs="Aptos"/>
          <w:b/>
          <w:color w:val="235D91"/>
          <w:sz w:val="28"/>
        </w:rPr>
        <w:t>Overall Scores</w:t>
      </w:r>
    </w:p>
    <w:tbl>
      <w:tblPr>
        <w:tblStyle w:val="TableGrid"/>
        <w:tblW w:type="dxa" w:w="8640"/>
        <w:tblLayout w:type="fixed"/>
        <w:tblLook w:firstColumn="1" w:firstRow="1" w:lastColumn="0" w:lastRow="0" w:noHBand="0" w:noVBand="1" w:val="04A0"/>
        <w:tblInd w:type="dxa" w:w="120"/>
      </w:tblPr>
      <w:tblGrid>
        <w:gridCol w:w="1656"/>
        <w:gridCol w:w="1008"/>
        <w:gridCol w:w="1224"/>
        <w:gridCol w:w="1656"/>
        <w:gridCol w:w="3096"/>
      </w:tblGrid>
      <w:tr>
        <w:trPr>
          <w:tblHeader w:val="true"/>
        </w:trPr>
        <w:tc>
          <w:tcPr>
            <w:tcW w:type="dxa" w:w="1656"/>
            <w:vAlign w:val="center"/>
            <w:shd w:fill="D9EAF7"/>
          </w:tcPr>
          <w:p>
            <w:pPr>
              <w:spacing w:after="0" w:line="240" w:lineRule="auto"/>
            </w:pPr>
            <w:r/>
            <w:r>
              <w:rPr>
                <w:rFonts w:ascii="Aptos" w:hAnsi="Aptos" w:eastAsia="Aptos" w:cs="Aptos"/>
                <w:b/>
                <w:color w:val="1F2D3D"/>
                <w:sz w:val="17"/>
              </w:rPr>
              <w:t>Run</w:t>
            </w:r>
          </w:p>
        </w:tc>
        <w:tc>
          <w:tcPr>
            <w:tcW w:type="dxa" w:w="1008"/>
            <w:vAlign w:val="center"/>
            <w:shd w:fill="D9EAF7"/>
          </w:tcPr>
          <w:p>
            <w:pPr>
              <w:spacing w:after="0" w:line="240" w:lineRule="auto"/>
            </w:pPr>
            <w:r/>
            <w:r>
              <w:rPr>
                <w:rFonts w:ascii="Aptos" w:hAnsi="Aptos" w:eastAsia="Aptos" w:cs="Aptos"/>
                <w:b/>
                <w:color w:val="1F2D3D"/>
                <w:sz w:val="17"/>
              </w:rPr>
              <w:t>Reward</w:t>
            </w:r>
          </w:p>
        </w:tc>
        <w:tc>
          <w:tcPr>
            <w:tcW w:type="dxa" w:w="1224"/>
            <w:vAlign w:val="center"/>
            <w:shd w:fill="D9EAF7"/>
          </w:tcPr>
          <w:p>
            <w:pPr>
              <w:spacing w:after="0" w:line="240" w:lineRule="auto"/>
            </w:pPr>
            <w:r/>
            <w:r>
              <w:rPr>
                <w:rFonts w:ascii="Aptos" w:hAnsi="Aptos" w:eastAsia="Aptos" w:cs="Aptos"/>
                <w:b/>
                <w:color w:val="1F2D3D"/>
                <w:sz w:val="17"/>
              </w:rPr>
              <w:t>Pass / Total</w:t>
            </w:r>
          </w:p>
        </w:tc>
        <w:tc>
          <w:tcPr>
            <w:tcW w:type="dxa" w:w="1656"/>
            <w:vAlign w:val="center"/>
            <w:shd w:fill="D9EAF7"/>
          </w:tcPr>
          <w:p>
            <w:pPr>
              <w:spacing w:after="0" w:line="240" w:lineRule="auto"/>
            </w:pPr>
            <w:r/>
            <w:r>
              <w:rPr>
                <w:rFonts w:ascii="Aptos" w:hAnsi="Aptos" w:eastAsia="Aptos" w:cs="Aptos"/>
                <w:b/>
                <w:color w:val="1F2D3D"/>
                <w:sz w:val="17"/>
              </w:rPr>
              <w:t>Classification</w:t>
            </w:r>
          </w:p>
        </w:tc>
        <w:tc>
          <w:tcPr>
            <w:tcW w:type="dxa" w:w="3096"/>
            <w:vAlign w:val="center"/>
            <w:shd w:fill="D9EAF7"/>
          </w:tcPr>
          <w:p>
            <w:pPr>
              <w:spacing w:after="0" w:line="240" w:lineRule="auto"/>
            </w:pPr>
            <w:r/>
            <w:r>
              <w:rPr>
                <w:rFonts w:ascii="Aptos" w:hAnsi="Aptos" w:eastAsia="Aptos" w:cs="Aptos"/>
                <w:b/>
                <w:color w:val="1F2D3D"/>
                <w:sz w:val="17"/>
              </w:rPr>
              <w:t>Notes</w:t>
            </w:r>
          </w:p>
        </w:tc>
      </w:tr>
      <w:tr>
        <w:trPr>
          <w:cantSplit/>
          <w:trHeight w:hRule="auto"/>
        </w:trPr>
        <w:tc>
          <w:tcPr>
            <w:tcW w:type="dxa" w:w="1656"/>
            <w:vAlign w:val="center"/>
          </w:tcPr>
          <w:p>
            <w:pPr>
              <w:spacing w:after="0" w:line="240" w:lineRule="auto"/>
            </w:pPr>
            <w:r/>
            <w:r>
              <w:rPr>
                <w:rFonts w:ascii="Aptos" w:hAnsi="Aptos" w:eastAsia="Aptos" w:cs="Aptos"/>
                <w:b w:val="0"/>
                <w:sz w:val="17"/>
              </w:rPr>
              <w:t>Oracle (reference)</w:t>
            </w:r>
          </w:p>
        </w:tc>
        <w:tc>
          <w:tcPr>
            <w:tcW w:type="dxa" w:w="1008"/>
            <w:vAlign w:val="center"/>
          </w:tcPr>
          <w:p>
            <w:pPr>
              <w:spacing w:after="0" w:line="240" w:lineRule="auto"/>
            </w:pPr>
            <w:r/>
            <w:r>
              <w:rPr>
                <w:rFonts w:ascii="Aptos" w:hAnsi="Aptos" w:eastAsia="Aptos" w:cs="Aptos"/>
                <w:b w:val="0"/>
                <w:sz w:val="17"/>
              </w:rPr>
              <w:t>1.000</w:t>
            </w:r>
          </w:p>
        </w:tc>
        <w:tc>
          <w:tcPr>
            <w:tcW w:type="dxa" w:w="1224"/>
            <w:vAlign w:val="center"/>
          </w:tcPr>
          <w:p>
            <w:pPr>
              <w:spacing w:after="0" w:line="240" w:lineRule="auto"/>
            </w:pPr>
            <w:r/>
            <w:r>
              <w:rPr>
                <w:rFonts w:ascii="Aptos" w:hAnsi="Aptos" w:eastAsia="Aptos" w:cs="Aptos"/>
                <w:b w:val="0"/>
                <w:sz w:val="17"/>
              </w:rPr>
              <w:t>27 / 27</w:t>
            </w:r>
          </w:p>
        </w:tc>
        <w:tc>
          <w:tcPr>
            <w:tcW w:type="dxa" w:w="1656"/>
            <w:vAlign w:val="center"/>
          </w:tcPr>
          <w:p>
            <w:pPr>
              <w:spacing w:after="0" w:line="240" w:lineRule="auto"/>
            </w:pPr>
            <w:r/>
            <w:r>
              <w:rPr>
                <w:rFonts w:ascii="Aptos" w:hAnsi="Aptos" w:eastAsia="Aptos" w:cs="Aptos"/>
                <w:b w:val="0"/>
                <w:sz w:val="17"/>
              </w:rPr>
              <w:t>capability-valid</w:t>
            </w:r>
          </w:p>
        </w:tc>
        <w:tc>
          <w:tcPr>
            <w:tcW w:type="dxa" w:w="3096"/>
            <w:vAlign w:val="center"/>
          </w:tcPr>
          <w:p>
            <w:pPr>
              <w:spacing w:after="0" w:line="240" w:lineRule="auto"/>
            </w:pPr>
            <w:r/>
            <w:r>
              <w:rPr>
                <w:rFonts w:ascii="Aptos" w:hAnsi="Aptos" w:eastAsia="Aptos" w:cs="Aptos"/>
                <w:b w:val="0"/>
                <w:sz w:val="17"/>
              </w:rPr>
              <w:t>bazaarbridge-marketplace__afiubwn · ~18 min · oracle · 1.0.0</w:t>
            </w:r>
          </w:p>
        </w:tc>
      </w:tr>
      <w:tr>
        <w:trPr>
          <w:cantSplit/>
          <w:trHeight w:hRule="auto"/>
        </w:trPr>
        <w:tc>
          <w:tcPr>
            <w:tcW w:type="dxa" w:w="1656"/>
            <w:vAlign w:val="center"/>
          </w:tcPr>
          <w:p>
            <w:pPr>
              <w:spacing w:after="0" w:line="240" w:lineRule="auto"/>
            </w:pPr>
            <w:r/>
            <w:r>
              <w:rPr>
                <w:rFonts w:ascii="Aptos" w:hAnsi="Aptos" w:eastAsia="Aptos" w:cs="Aptos"/>
                <w:b w:val="0"/>
                <w:sz w:val="17"/>
              </w:rPr>
              <w:t>GPT-5.4 mini (high)</w:t>
            </w:r>
          </w:p>
        </w:tc>
        <w:tc>
          <w:tcPr>
            <w:tcW w:type="dxa" w:w="1008"/>
            <w:vAlign w:val="center"/>
          </w:tcPr>
          <w:p>
            <w:pPr>
              <w:spacing w:after="0" w:line="240" w:lineRule="auto"/>
            </w:pPr>
            <w:r/>
            <w:r>
              <w:rPr>
                <w:rFonts w:ascii="Aptos" w:hAnsi="Aptos" w:eastAsia="Aptos" w:cs="Aptos"/>
                <w:b w:val="0"/>
                <w:sz w:val="17"/>
              </w:rPr>
              <w:t>0.585</w:t>
            </w:r>
          </w:p>
        </w:tc>
        <w:tc>
          <w:tcPr>
            <w:tcW w:type="dxa" w:w="1224"/>
            <w:vAlign w:val="center"/>
          </w:tcPr>
          <w:p>
            <w:pPr>
              <w:spacing w:after="0" w:line="240" w:lineRule="auto"/>
            </w:pPr>
            <w:r/>
            <w:r>
              <w:rPr>
                <w:rFonts w:ascii="Aptos" w:hAnsi="Aptos" w:eastAsia="Aptos" w:cs="Aptos"/>
                <w:b w:val="0"/>
                <w:sz w:val="17"/>
              </w:rPr>
              <w:t>20 / 27</w:t>
            </w:r>
          </w:p>
        </w:tc>
        <w:tc>
          <w:tcPr>
            <w:tcW w:type="dxa" w:w="1656"/>
            <w:vAlign w:val="center"/>
          </w:tcPr>
          <w:p>
            <w:pPr>
              <w:spacing w:after="0" w:line="240" w:lineRule="auto"/>
            </w:pPr>
            <w:r/>
            <w:r>
              <w:rPr>
                <w:rFonts w:ascii="Aptos" w:hAnsi="Aptos" w:eastAsia="Aptos" w:cs="Aptos"/>
                <w:b w:val="0"/>
                <w:sz w:val="17"/>
              </w:rPr>
              <w:t>capability-valid</w:t>
            </w:r>
          </w:p>
        </w:tc>
        <w:tc>
          <w:tcPr>
            <w:tcW w:type="dxa" w:w="3096"/>
            <w:vAlign w:val="center"/>
          </w:tcPr>
          <w:p>
            <w:pPr>
              <w:spacing w:after="0" w:line="240" w:lineRule="auto"/>
            </w:pPr>
            <w:r/>
            <w:r>
              <w:rPr>
                <w:rFonts w:ascii="Aptos" w:hAnsi="Aptos" w:eastAsia="Aptos" w:cs="Aptos"/>
                <w:b w:val="0"/>
                <w:sz w:val="17"/>
              </w:rPr>
              <w:t>bazaarbridge-marketplace__cEWQgKx · ~19 min · openhands · 0.62.0 · openai/gpt-5.4-mini</w:t>
            </w:r>
          </w:p>
        </w:tc>
      </w:tr>
    </w:tbl>
    <w:p>
      <w:pPr>
        <w:spacing w:after="0"/>
      </w:pPr>
    </w:p>
    <w:p>
      <w:pPr>
        <w:pStyle w:val="Heading2"/>
        <w:keepNext/>
      </w:pPr>
      <w:r>
        <w:rPr>
          <w:rFonts w:ascii="Aptos" w:hAnsi="Aptos" w:eastAsia="Aptos" w:cs="Aptos"/>
          <w:b/>
          <w:color w:val="235D91"/>
          <w:sz w:val="28"/>
        </w:rPr>
        <w:t>Features and Subfeatures</w:t>
      </w:r>
    </w:p>
    <w:p>
      <w:r>
        <w:rPr>
          <w:rFonts w:ascii="Aptos" w:hAnsi="Aptos" w:eastAsia="Aptos" w:cs="Aptos"/>
          <w:color w:val="191919"/>
          <w:sz w:val="21"/>
        </w:rPr>
        <w:t>Total: 4 feature areas · 27 verifier criteria (35 weighted points)</w:t>
      </w:r>
    </w:p>
    <w:p>
      <w:pPr>
        <w:pStyle w:val="Heading3"/>
        <w:keepNext/>
      </w:pPr>
      <w:r>
        <w:rPr>
          <w:rFonts w:ascii="Aptos" w:hAnsi="Aptos" w:eastAsia="Aptos" w:cs="Aptos"/>
          <w:b/>
          <w:color w:val="235D91"/>
          <w:sz w:val="23"/>
        </w:rPr>
        <w:t>1. Constraints and application boundary (2 subfeatures)</w:t>
      </w:r>
    </w:p>
    <w:p>
      <w:pPr>
        <w:pStyle w:val="ListBullet"/>
        <w:spacing w:after="40" w:line="259" w:lineRule="auto"/>
      </w:pPr>
      <w:r>
        <w:rPr>
          <w:rFonts w:ascii="Aptos" w:hAnsi="Aptos" w:eastAsia="Aptos" w:cs="Aptos"/>
          <w:color w:val="191919"/>
          <w:sz w:val="21"/>
        </w:rPr>
        <w:t>Confirm the protected workspace is not exposed before sign-in. An incorrect Administrator password must be rejected and leave the browser signed out; immediately afterwards, the documented password must authenticate successfully and show populated protected data.</w:t>
        <w:br/>
      </w:r>
    </w:p>
    <w:p>
      <w:pPr>
        <w:pStyle w:val="ListBullet"/>
        <w:spacing w:after="40" w:line="259" w:lineRule="auto"/>
      </w:pPr>
      <w:r>
        <w:rPr>
          <w:rFonts w:ascii="Aptos" w:hAnsi="Aptos" w:eastAsia="Aptos" w:cs="Aptos"/>
          <w:color w:val="191919"/>
          <w:sz w:val="21"/>
        </w:rPr>
        <w:t>Confirm the app is served successfully at localhost:3000 and its authentication and reads use successful same-origin server requests. A static/local-only mock, missing backend, failed request, or dependency on an external browser asset does not pass.</w:t>
        <w:br/>
      </w:r>
    </w:p>
    <w:p>
      <w:pPr>
        <w:pStyle w:val="Heading3"/>
        <w:keepNext/>
      </w:pPr>
      <w:r>
        <w:rPr>
          <w:rFonts w:ascii="Aptos" w:hAnsi="Aptos" w:eastAsia="Aptos" w:cs="Aptos"/>
          <w:b/>
          <w:color w:val="235D91"/>
          <w:sz w:val="23"/>
        </w:rPr>
        <w:t>2. Core marketplace workflows and policy (18 subfeatures)</w:t>
      </w:r>
    </w:p>
    <w:p>
      <w:pPr>
        <w:pStyle w:val="ListBullet"/>
        <w:spacing w:after="40" w:line="259" w:lineRule="auto"/>
      </w:pPr>
      <w:r>
        <w:rPr>
          <w:rFonts w:ascii="Aptos" w:hAnsi="Aptos" w:eastAsia="Aptos" w:cs="Aptos"/>
          <w:color w:val="191919"/>
          <w:sz w:val="21"/>
        </w:rPr>
        <w:t>Sign in as admin@bazaarbridge.test with password [redacted demo password]. Confirm the signed-in workspace visibly identifies the Administrator role and shows populated marketplace data. Pre-login demo text does not count.</w:t>
        <w:br/>
      </w:r>
    </w:p>
    <w:p>
      <w:pPr>
        <w:pStyle w:val="ListBullet"/>
        <w:spacing w:after="40" w:line="259" w:lineRule="auto"/>
      </w:pPr>
      <w:r>
        <w:rPr>
          <w:rFonts w:ascii="Aptos" w:hAnsi="Aptos" w:eastAsia="Aptos" w:cs="Aptos"/>
          <w:color w:val="191919"/>
          <w:sz w:val="21"/>
        </w:rPr>
        <w:t>On the Dashboard, confirm gross sales equals the sum of all visible order totals (seed total 1258), order count equals the number of orders (6), ready payout equals the sum of Approved payouts only (24380 from PAY-301, with Requested and Review excluded), and total owed to merchants equals the sum of every merchant's net payable (seed total 243.20, being Alba Home 81.40 plus Brook Outdoor 161.80). If orders have already been moved into or out of Shipped earlier in this evaluation, require the owed figure to match the sum of the settlement statements currently displayed.</w:t>
        <w:br/>
      </w:r>
    </w:p>
    <w:p>
      <w:pPr>
        <w:pStyle w:val="ListBullet"/>
        <w:spacing w:after="40" w:line="259" w:lineRule="auto"/>
      </w:pPr>
      <w:r>
        <w:rPr>
          <w:rFonts w:ascii="Aptos" w:hAnsi="Aptos" w:eastAsia="Aptos" w:cs="Aptos"/>
          <w:color w:val="191919"/>
          <w:sz w:val="21"/>
        </w:rPr>
        <w:t>On Orders, search for Nora Ellis and require every visible result to match that customer. Clear search, filter to Shipped, and require every visible result to show Shipped (seed has BB-1046 and BB-1044). Restore the full collection afterwards.</w:t>
        <w:br/>
      </w:r>
    </w:p>
    <w:p>
      <w:pPr>
        <w:pStyle w:val="ListBullet"/>
        <w:spacing w:after="40" w:line="259" w:lineRule="auto"/>
      </w:pPr>
      <w:r>
        <w:rPr>
          <w:rFonts w:ascii="Aptos" w:hAnsi="Aptos" w:eastAsia="Aptos" w:cs="Aptos"/>
          <w:color w:val="191919"/>
          <w:sz w:val="21"/>
        </w:rPr>
        <w:t>As Administrator, change only BB-1048 from New to Packed using whatever control the product provides for updating order status. Refresh Orders. Confirm BB-1048 remains Packed while another seeded order such as BB-1047 stays at its recorded status.</w:t>
        <w:br/>
      </w:r>
    </w:p>
    <w:p>
      <w:pPr>
        <w:pStyle w:val="ListBullet"/>
        <w:spacing w:after="40" w:line="259" w:lineRule="auto"/>
      </w:pPr>
      <w:r>
        <w:rPr>
          <w:rFonts w:ascii="Aptos" w:hAnsi="Aptos" w:eastAsia="Aptos" w:cs="Aptos"/>
          <w:color w:val="191919"/>
          <w:sz w:val="21"/>
        </w:rPr>
        <w:t>As Administrator, change only AL-LAMP-1 stock from 18 to a different valid value such as 41. Refresh Inventory. Confirm AL-LAMP-1 keeps the new stock while comparison SKU AL-THROW-4 stays at 7.</w:t>
        <w:br/>
      </w:r>
    </w:p>
    <w:p>
      <w:pPr>
        <w:pStyle w:val="ListBullet"/>
        <w:spacing w:after="40" w:line="259" w:lineRule="auto"/>
      </w:pPr>
      <w:r>
        <w:rPr>
          <w:rFonts w:ascii="Aptos" w:hAnsi="Aptos" w:eastAsia="Aptos" w:cs="Aptos"/>
          <w:color w:val="191919"/>
          <w:sz w:val="21"/>
        </w:rPr>
        <w:t>As Administrator, change PAY-303 from Review to Approved. Refresh Payouts. Confirm PAY-303 remains Approved while comparison payout PAY-302 stays Requested.</w:t>
        <w:br/>
      </w:r>
    </w:p>
    <w:p>
      <w:pPr>
        <w:pStyle w:val="ListBullet"/>
        <w:spacing w:after="40" w:line="259" w:lineRule="auto"/>
      </w:pPr>
      <w:r>
        <w:rPr>
          <w:rFonts w:ascii="Aptos" w:hAnsi="Aptos" w:eastAsia="Aptos" w:cs="Aptos"/>
          <w:color w:val="191919"/>
          <w:sz w:val="21"/>
        </w:rPr>
        <w:t>On Inventory, confirm every SKU whose stock is at or below its reorder level is visibly flagged as low stock, and at least one SKU whose stock is above reorder level is not flagged. With seed data that means AL-THROW-4 and BR-PACK-2 start flagged. Raise a currently low SKU above its reorder level (for example AL-THROW-4 to 20) and confirm its flag clears. Drop a currently healthy SKU at or below reorder (for example CI-STONE-3 from 22 to 5, reorder 10) and confirm a low-stock flag appears on that SKU.</w:t>
        <w:br/>
      </w:r>
    </w:p>
    <w:p>
      <w:pPr>
        <w:pStyle w:val="ListBullet"/>
        <w:spacing w:after="40" w:line="259" w:lineRule="auto"/>
      </w:pPr>
      <w:r>
        <w:rPr>
          <w:rFonts w:ascii="Aptos" w:hAnsi="Aptos" w:eastAsia="Aptos" w:cs="Aptos"/>
          <w:color w:val="191919"/>
          <w:sz w:val="21"/>
        </w:rPr>
        <w:t>Read the Dashboard ready-payout figure. If PAY-303 is not yet Approved, approve it and confirm ready payout rises by 10000 (seed start 24380 becomes 34380). If PAY-303 was already Approved earlier in this evaluation, confirm ready payout already includes that 10000. Then move one Approved payout to Paid and confirm ready payout drops by that payout's amount. Figures must come from live data after the changes, not a boot-time snapshot.</w:t>
        <w:br/>
      </w:r>
    </w:p>
    <w:p>
      <w:pPr>
        <w:pStyle w:val="ListBullet"/>
        <w:spacing w:after="40" w:line="259" w:lineRule="auto"/>
      </w:pPr>
      <w:r>
        <w:rPr>
          <w:rFonts w:ascii="Aptos" w:hAnsi="Aptos" w:eastAsia="Aptos" w:cs="Aptos"/>
          <w:color w:val="191919"/>
          <w:sz w:val="21"/>
        </w:rPr>
        <w:t>Choose a seeded SKU that this evaluation has not already mutated for a negative-stock check (prefer BR-TENT-1 at seed stock 12). Attempt to set its stock to a negative value. Confirm a visible refusal reason appears, reload, and confirm the stored stock is unchanged from its pre-attempt value. Immediately afterwards set a valid non-negative stock and confirm that valid update succeeds and persists.</w:t>
        <w:br/>
      </w:r>
    </w:p>
    <w:p>
      <w:pPr>
        <w:pStyle w:val="ListBullet"/>
        <w:spacing w:after="40" w:line="259" w:lineRule="auto"/>
      </w:pPr>
      <w:r>
        <w:rPr>
          <w:rFonts w:ascii="Aptos" w:hAnsi="Aptos" w:eastAsia="Aptos" w:cs="Aptos"/>
          <w:color w:val="191919"/>
          <w:sz w:val="21"/>
        </w:rPr>
        <w:t>Attempt to move Returned order BB-1043 to Packed or Shipped. Confirm a visible refusal, reload, and confirm BB-1043 still reads Returned. A non-Returned order that is still at a mutable status may still be updated successfully in the same session.</w:t>
        <w:br/>
      </w:r>
    </w:p>
    <w:p>
      <w:pPr>
        <w:pStyle w:val="ListBullet"/>
        <w:spacing w:after="40" w:line="259" w:lineRule="auto"/>
      </w:pPr>
      <w:r>
        <w:rPr>
          <w:rFonts w:ascii="Aptos" w:hAnsi="Aptos" w:eastAsia="Aptos" w:cs="Aptos"/>
          <w:color w:val="191919"/>
          <w:sz w:val="21"/>
        </w:rPr>
        <w:t>After any successful order-status, inventory-stock, or payout-status mutation performed in this evaluation, open Dashboard recent activity and confirm a new entry names the action, the affected record, the acting Administrator (Ari Morgan or equivalent signed-in name), and a time. Seeded activity alone does not pass. The entry must remain after reload.</w:t>
        <w:br/>
      </w:r>
    </w:p>
    <w:p>
      <w:pPr>
        <w:pStyle w:val="ListBullet"/>
        <w:spacing w:after="40" w:line="259" w:lineRule="auto"/>
      </w:pPr>
      <w:r>
        <w:rPr>
          <w:rFonts w:ascii="Aptos" w:hAnsi="Aptos" w:eastAsia="Aptos" w:cs="Aptos"/>
          <w:color w:val="191919"/>
          <w:sz w:val="21"/>
        </w:rPr>
        <w:t>After any successful order-status, inventory-stock, or payout-status mutation, reload the page, sign in again as Administrator, and confirm the mutation remains in the relevant workspace.</w:t>
        <w:br/>
      </w:r>
    </w:p>
    <w:p>
      <w:pPr>
        <w:pStyle w:val="ListBullet"/>
        <w:spacing w:after="40" w:line="259" w:lineRule="auto"/>
      </w:pPr>
      <w:r>
        <w:rPr>
          <w:rFonts w:ascii="Aptos" w:hAnsi="Aptos" w:eastAsia="Aptos" w:cs="Aptos"/>
          <w:color w:val="191919"/>
          <w:sz w:val="21"/>
        </w:rPr>
        <w:t>Find the per-merchant settlement statements. Before any order in this evaluation has been moved into or out of Shipped, confirm the net payable figures read Alba Home 81.40, Brook Outdoor 161.80, and Cinder Living 0.00. If orders have already been moved earlier in this evaluation, recompute the expected values from the rules below using the current order statuses and confirm the displayed figures match.</w:t>
        <w:br/>
        <w:br/>
        <w:t>The rules are: only Shipped orders are payable; for each payable order the commission is 12% of the order total below 150, 9% from 150 up to but not including 300, and 6% from 300 upward; the processing fee is 2.9% of the order total rounded half up to cents plus a flat 0.30; the order net is total minus commission minus processing fee. Fail if a merchant with no Shipped orders is missing or shows a non-zero net.</w:t>
        <w:br/>
      </w:r>
    </w:p>
    <w:p>
      <w:pPr>
        <w:pStyle w:val="ListBullet"/>
        <w:spacing w:after="40" w:line="259" w:lineRule="auto"/>
      </w:pPr>
      <w:r>
        <w:rPr>
          <w:rFonts w:ascii="Aptos" w:hAnsi="Aptos" w:eastAsia="Aptos" w:cs="Aptos"/>
          <w:color w:val="191919"/>
          <w:sz w:val="21"/>
        </w:rPr>
        <w:t>Move BB-1047 (Brook Outdoor, total 300, seed status Packed) to Shipped. Its total sits exactly on a band edge and must be charged the 6% commission band, not 9%. Confirm Brook Outdoor's net payable becomes 434.80, which is the seed 161.80 plus an order net of 273.00 (300 minus 18.00 commission minus 9.00 processing). A figure of 425.80 means the boundary was charged at 9% and must fail.</w:t>
        <w:br/>
      </w:r>
    </w:p>
    <w:p>
      <w:pPr>
        <w:pStyle w:val="ListBullet"/>
        <w:spacing w:after="40" w:line="259" w:lineRule="auto"/>
      </w:pPr>
      <w:r>
        <w:rPr>
          <w:rFonts w:ascii="Aptos" w:hAnsi="Aptos" w:eastAsia="Aptos" w:cs="Aptos"/>
          <w:color w:val="191919"/>
          <w:sz w:val="21"/>
        </w:rPr>
        <w:t>Move BB-1048 (Alba Home, total 240, seed status New) to Shipped and confirm Alba Home's net payable rises by exactly 211.14 (240 minus 21.60 commission at 9% minus 7.26 processing). Reload and confirm the figure is still derived from current data rather than a stored or boot-time constant. Fail if the statement only changes after a restart, or does not change at all.</w:t>
        <w:br/>
      </w:r>
    </w:p>
    <w:p>
      <w:pPr>
        <w:pStyle w:val="ListBullet"/>
        <w:spacing w:after="40" w:line="259" w:lineRule="auto"/>
      </w:pPr>
      <w:r>
        <w:rPr>
          <w:rFonts w:ascii="Aptos" w:hAnsi="Aptos" w:eastAsia="Aptos" w:cs="Aptos"/>
          <w:color w:val="191919"/>
          <w:sz w:val="21"/>
        </w:rPr>
        <w:t>Confirm orders that are not Shipped never contribute to a settlement. Returned BB-1043 (Alba Home, total 310) must not appear in Alba Home's statement or its net, and On hold BB-1045 (Cinder Living, total 128) must not appear in Cinder Living's. Then move a currently Shipped order to Returned (for example BB-1046, Alba Home, total 96, order net 81.40) and confirm that order net is removed from the merchant's total.</w:t>
        <w:br/>
      </w:r>
    </w:p>
    <w:p>
      <w:pPr>
        <w:pStyle w:val="ListBullet"/>
        <w:spacing w:after="40" w:line="259" w:lineRule="auto"/>
      </w:pPr>
      <w:r>
        <w:rPr>
          <w:rFonts w:ascii="Aptos" w:hAnsi="Aptos" w:eastAsia="Aptos" w:cs="Aptos"/>
          <w:color w:val="191919"/>
          <w:sz w:val="21"/>
        </w:rPr>
        <w:t>Sign in as operator@bazaarbridge.test with password [redacted demo password], who is the Operations lead. Confirm this person cannot change a payout status: either the payout control is visibly unavailable to them with an explanation, or attempting the change produces a visible not-authorised refusal. Reload and confirm the payout status is unchanged. Then confirm the same person can still change an order status or inventory stock successfully, and can still read the settlement figures. Fail if the Operations lead can complete a payout status change.</w:t>
        <w:br/>
      </w:r>
    </w:p>
    <w:p>
      <w:pPr>
        <w:pStyle w:val="ListBullet"/>
        <w:spacing w:after="40" w:line="259" w:lineRule="auto"/>
      </w:pPr>
      <w:r>
        <w:rPr>
          <w:rFonts w:ascii="Aptos" w:hAnsi="Aptos" w:eastAsia="Aptos" w:cs="Aptos"/>
          <w:color w:val="191919"/>
          <w:sz w:val="21"/>
        </w:rPr>
        <w:t>Sign in as finance@bazaarbridge.test with password [redacted demo password], who is the Finance manager. Confirm this person cannot change an order status or inventory stock: either those controls are visibly unavailable to them with an explanation, or attempting a change produces a visible not-authorised refusal. Reload and confirm the order status and stock value are unchanged. Then confirm the same person can still change a payout status successfully. Fail if the Finance manager can complete an order status or stock change.</w:t>
        <w:br/>
      </w:r>
    </w:p>
    <w:p>
      <w:pPr>
        <w:pStyle w:val="Heading3"/>
        <w:keepNext/>
      </w:pPr>
      <w:r>
        <w:rPr>
          <w:rFonts w:ascii="Aptos" w:hAnsi="Aptos" w:eastAsia="Aptos" w:cs="Aptos"/>
          <w:b/>
          <w:color w:val="235D91"/>
          <w:sz w:val="23"/>
        </w:rPr>
        <w:t>3. Usability, responsiveness, and accessibility (5 subfeatures)</w:t>
      </w:r>
    </w:p>
    <w:p>
      <w:pPr>
        <w:pStyle w:val="ListBullet"/>
        <w:spacing w:after="40" w:line="259" w:lineRule="auto"/>
      </w:pPr>
      <w:r>
        <w:rPr>
          <w:rFonts w:ascii="Aptos" w:hAnsi="Aptos" w:eastAsia="Aptos" w:cs="Aptos"/>
          <w:color w:val="191919"/>
          <w:sz w:val="21"/>
        </w:rPr>
        <w:t>Use the visible theme control and confirm it produces a clear rendered change between light and dark presentation while preserving legibility and the current workspace.</w:t>
        <w:br/>
      </w:r>
    </w:p>
    <w:p>
      <w:pPr>
        <w:pStyle w:val="ListBullet"/>
        <w:spacing w:after="40" w:line="259" w:lineRule="auto"/>
      </w:pPr>
      <w:r>
        <w:rPr>
          <w:rFonts w:ascii="Aptos" w:hAnsi="Aptos" w:eastAsia="Aptos" w:cs="Aptos"/>
          <w:color w:val="191919"/>
          <w:sz w:val="21"/>
        </w:rPr>
        <w:t>At a roughly 390 by 844 mobile viewport, confirm the main content fits without horizontal page overflow and Dashboard, Orders, Inventory, and Payouts remain reachable.</w:t>
        <w:br/>
      </w:r>
    </w:p>
    <w:p>
      <w:pPr>
        <w:pStyle w:val="ListBullet"/>
        <w:spacing w:after="40" w:line="259" w:lineRule="auto"/>
      </w:pPr>
      <w:r>
        <w:rPr>
          <w:rFonts w:ascii="Aptos" w:hAnsi="Aptos" w:eastAsia="Aptos" w:cs="Aptos"/>
          <w:color w:val="191919"/>
          <w:sz w:val="21"/>
        </w:rPr>
        <w:t>On the desktop signed-in experience, confirm a navigation landmark, a main landmark, meaningful headings, and accessible names or associated labels for visible buttons, inputs, and selects used in the workspaces.</w:t>
        <w:br/>
      </w:r>
    </w:p>
    <w:p>
      <w:pPr>
        <w:pStyle w:val="ListBullet"/>
        <w:spacing w:after="40" w:line="259" w:lineRule="auto"/>
      </w:pPr>
      <w:r>
        <w:rPr>
          <w:rFonts w:ascii="Aptos" w:hAnsi="Aptos" w:eastAsia="Aptos" w:cs="Aptos"/>
          <w:color w:val="191919"/>
          <w:sz w:val="21"/>
        </w:rPr>
        <w:t>Confirm interactive controls have clear hover or focus feedback. Confirm forms or update controls communicate invalid actions with a visible reason while leaving the surrounding workspace coherent.</w:t>
        <w:br/>
      </w:r>
    </w:p>
    <w:p>
      <w:pPr>
        <w:pStyle w:val="ListBullet"/>
        <w:spacing w:after="40" w:line="259" w:lineRule="auto"/>
      </w:pPr>
      <w:r>
        <w:rPr>
          <w:rFonts w:ascii="Aptos" w:hAnsi="Aptos" w:eastAsia="Aptos" w:cs="Aptos"/>
          <w:color w:val="191919"/>
          <w:sz w:val="21"/>
        </w:rPr>
        <w:t>Open and close any order-status, inventory, or payout update surface the product provides (inline control, dialog, drawer, or page section). Confirm the surrounding workspace remains usable and is not permanently obscured or broken.</w:t>
        <w:br/>
      </w:r>
    </w:p>
    <w:p>
      <w:pPr>
        <w:pStyle w:val="Heading3"/>
        <w:keepNext/>
      </w:pPr>
      <w:r>
        <w:rPr>
          <w:rFonts w:ascii="Aptos" w:hAnsi="Aptos" w:eastAsia="Aptos" w:cs="Aptos"/>
          <w:b/>
          <w:color w:val="235D91"/>
          <w:sz w:val="23"/>
        </w:rPr>
        <w:t>4. Rendered workspace coverage (2 subfeatures)</w:t>
      </w:r>
    </w:p>
    <w:p>
      <w:pPr>
        <w:pStyle w:val="ListBullet"/>
        <w:spacing w:after="40" w:line="259" w:lineRule="auto"/>
      </w:pPr>
      <w:r>
        <w:rPr>
          <w:rFonts w:ascii="Aptos" w:hAnsi="Aptos" w:eastAsia="Aptos" w:cs="Aptos"/>
          <w:color w:val="191919"/>
          <w:sz w:val="21"/>
        </w:rPr>
        <w:t>Open the app, sign in with the demo Administrator account, and confirm a substantive, usable marketplace dashboard renders with populated content and without a fatal browser error or broken page.</w:t>
        <w:br/>
      </w:r>
    </w:p>
    <w:p>
      <w:pPr>
        <w:pStyle w:val="ListBullet"/>
        <w:spacing w:after="40" w:line="259" w:lineRule="auto"/>
      </w:pPr>
      <w:r>
        <w:rPr>
          <w:rFonts w:ascii="Aptos" w:hAnsi="Aptos" w:eastAsia="Aptos" w:cs="Aptos"/>
          <w:color w:val="191919"/>
          <w:sz w:val="21"/>
        </w:rPr>
        <w:t>Open Dashboard, Orders, Inventory, and Payouts. Each destination must visibly activate and show its own meaningful heading and content; multiple labels pointing to one unchanged screen do not pass.</w:t>
        <w:br/>
      </w:r>
    </w:p>
    <w:p>
      <w:r>
        <w:rPr>
          <w:rFonts w:ascii="Aptos" w:hAnsi="Aptos" w:eastAsia="Aptos" w:cs="Aptos"/>
          <w:color w:val="191919"/>
          <w:sz w:val="21"/>
        </w:rPr>
        <w:br w:type="page"/>
      </w:r>
    </w:p>
    <w:p>
      <w:pPr>
        <w:pStyle w:val="Heading2"/>
        <w:keepNext/>
      </w:pPr>
      <w:r>
        <w:rPr>
          <w:rFonts w:ascii="Aptos" w:hAnsi="Aptos" w:eastAsia="Aptos" w:cs="Aptos"/>
          <w:b/>
          <w:color w:val="235D91"/>
          <w:sz w:val="28"/>
        </w:rPr>
        <w:t>All Verifiers — Pass / Fail Status</w:t>
      </w:r>
    </w:p>
    <w:p>
      <w:r>
        <w:rPr>
          <w:rFonts w:ascii="Aptos" w:hAnsi="Aptos" w:eastAsia="Aptos" w:cs="Aptos"/>
          <w:color w:val="191919"/>
          <w:sz w:val="21"/>
        </w:rPr>
        <w:t>Oracle column reflects bazaarbridge-marketplace__afiubwn; model column reflects bazaarbridge-marketplace__cEWQgKx. Criterion weights are shown explicitly.</w:t>
      </w:r>
    </w:p>
    <w:tbl>
      <w:tblPr>
        <w:tblStyle w:val="TableGrid"/>
        <w:tblW w:type="dxa" w:w="8640"/>
        <w:tblLayout w:type="fixed"/>
        <w:tblLook w:firstColumn="1" w:firstRow="1" w:lastColumn="0" w:lastRow="0" w:noHBand="0" w:noVBand="1" w:val="04A0"/>
        <w:tblInd w:type="dxa" w:w="120"/>
      </w:tblPr>
      <w:tblGrid>
        <w:gridCol w:w="2016"/>
        <w:gridCol w:w="4104"/>
        <w:gridCol w:w="792"/>
        <w:gridCol w:w="792"/>
        <w:gridCol w:w="936"/>
      </w:tblGrid>
      <w:tr>
        <w:trPr>
          <w:tblHeader w:val="true"/>
        </w:trPr>
        <w:tc>
          <w:tcPr>
            <w:tcW w:type="dxa" w:w="2016"/>
            <w:vAlign w:val="center"/>
            <w:shd w:fill="D9EAF7"/>
          </w:tcPr>
          <w:p>
            <w:pPr>
              <w:spacing w:after="0" w:line="240" w:lineRule="auto"/>
            </w:pPr>
            <w:r/>
            <w:r>
              <w:rPr>
                <w:rFonts w:ascii="Aptos" w:hAnsi="Aptos" w:eastAsia="Aptos" w:cs="Aptos"/>
                <w:b/>
                <w:color w:val="1F2D3D"/>
                <w:sz w:val="16"/>
              </w:rPr>
              <w:t>Verifier ID</w:t>
            </w:r>
          </w:p>
        </w:tc>
        <w:tc>
          <w:tcPr>
            <w:tcW w:type="dxa" w:w="4104"/>
            <w:vAlign w:val="center"/>
            <w:shd w:fill="D9EAF7"/>
          </w:tcPr>
          <w:p>
            <w:pPr>
              <w:spacing w:after="0" w:line="240" w:lineRule="auto"/>
            </w:pPr>
            <w:r/>
            <w:r>
              <w:rPr>
                <w:rFonts w:ascii="Aptos" w:hAnsi="Aptos" w:eastAsia="Aptos" w:cs="Aptos"/>
                <w:b/>
                <w:color w:val="1F2D3D"/>
                <w:sz w:val="16"/>
              </w:rPr>
              <w:t>Feature</w:t>
            </w:r>
          </w:p>
        </w:tc>
        <w:tc>
          <w:tcPr>
            <w:tcW w:type="dxa" w:w="792"/>
            <w:vAlign w:val="center"/>
            <w:shd w:fill="D9EAF7"/>
          </w:tcPr>
          <w:p>
            <w:pPr>
              <w:spacing w:after="0" w:line="240" w:lineRule="auto"/>
            </w:pPr>
            <w:r/>
            <w:r>
              <w:rPr>
                <w:rFonts w:ascii="Aptos" w:hAnsi="Aptos" w:eastAsia="Aptos" w:cs="Aptos"/>
                <w:b/>
                <w:color w:val="1F2D3D"/>
                <w:sz w:val="16"/>
              </w:rPr>
              <w:t>Weight</w:t>
            </w:r>
          </w:p>
        </w:tc>
        <w:tc>
          <w:tcPr>
            <w:tcW w:type="dxa" w:w="792"/>
            <w:vAlign w:val="center"/>
            <w:shd w:fill="D9EAF7"/>
          </w:tcPr>
          <w:p>
            <w:pPr>
              <w:spacing w:after="0" w:line="240" w:lineRule="auto"/>
            </w:pPr>
            <w:r/>
            <w:r>
              <w:rPr>
                <w:rFonts w:ascii="Aptos" w:hAnsi="Aptos" w:eastAsia="Aptos" w:cs="Aptos"/>
                <w:b/>
                <w:color w:val="1F2D3D"/>
                <w:sz w:val="16"/>
              </w:rPr>
              <w:t>Oracle</w:t>
            </w:r>
          </w:p>
        </w:tc>
        <w:tc>
          <w:tcPr>
            <w:tcW w:type="dxa" w:w="936"/>
            <w:vAlign w:val="center"/>
            <w:shd w:fill="D9EAF7"/>
          </w:tcPr>
          <w:p>
            <w:pPr>
              <w:spacing w:after="0" w:line="240" w:lineRule="auto"/>
            </w:pPr>
            <w:r/>
            <w:r>
              <w:rPr>
                <w:rFonts w:ascii="Aptos" w:hAnsi="Aptos" w:eastAsia="Aptos" w:cs="Aptos"/>
                <w:b/>
                <w:color w:val="1F2D3D"/>
                <w:sz w:val="16"/>
              </w:rPr>
              <w:t>GPT-5.4 mini (high)</w:t>
            </w:r>
          </w:p>
        </w:tc>
      </w:tr>
      <w:tr>
        <w:trPr>
          <w:cantSplit/>
          <w:trHeight w:hRule="auto"/>
        </w:trPr>
        <w:tc>
          <w:tcPr>
            <w:tcW w:type="dxa" w:w="2016"/>
            <w:vAlign w:val="center"/>
          </w:tcPr>
          <w:p>
            <w:pPr>
              <w:spacing w:after="0" w:line="240" w:lineRule="auto"/>
            </w:pPr>
            <w:r/>
            <w:r>
              <w:rPr>
                <w:rFonts w:ascii="Aptos" w:hAnsi="Aptos" w:eastAsia="Aptos" w:cs="Aptos"/>
                <w:b w:val="0"/>
                <w:sz w:val="16"/>
              </w:rPr>
              <w:t>authentication_boundary</w:t>
            </w:r>
          </w:p>
        </w:tc>
        <w:tc>
          <w:tcPr>
            <w:tcW w:type="dxa" w:w="4104"/>
            <w:vAlign w:val="center"/>
          </w:tcPr>
          <w:p>
            <w:pPr>
              <w:spacing w:after="0" w:line="240" w:lineRule="auto"/>
            </w:pPr>
            <w:r/>
            <w:r>
              <w:rPr>
                <w:rFonts w:ascii="Aptos" w:hAnsi="Aptos" w:eastAsia="Aptos" w:cs="Aptos"/>
                <w:b w:val="0"/>
                <w:sz w:val="16"/>
              </w:rPr>
              <w:t>Confirm the protected workspace is not exposed before sign-in. An incorrect Administrator password must be rejected and leave the browser signed out; immediately afterwards, the documented password must authenticate successfully and show populated protected data.</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server_backed_local_application</w:t>
            </w:r>
          </w:p>
        </w:tc>
        <w:tc>
          <w:tcPr>
            <w:tcW w:type="dxa" w:w="4104"/>
            <w:vAlign w:val="center"/>
          </w:tcPr>
          <w:p>
            <w:pPr>
              <w:spacing w:after="0" w:line="240" w:lineRule="auto"/>
            </w:pPr>
            <w:r/>
            <w:r>
              <w:rPr>
                <w:rFonts w:ascii="Aptos" w:hAnsi="Aptos" w:eastAsia="Aptos" w:cs="Aptos"/>
                <w:b w:val="0"/>
                <w:sz w:val="16"/>
              </w:rPr>
              <w:t>Confirm the app is served successfully at localhost:3000 and its authentication and reads use successful same-origin server requests. A static/local-only mock, missing backend, failed request, or dependency on an external browser asset does not pass.</w:t>
              <w:br/>
            </w:r>
          </w:p>
        </w:tc>
        <w:tc>
          <w:tcPr>
            <w:tcW w:type="dxa" w:w="792"/>
            <w:vAlign w:val="center"/>
          </w:tcPr>
          <w:p>
            <w:pPr>
              <w:spacing w:after="0" w:line="240" w:lineRule="auto"/>
            </w:pPr>
            <w:r/>
            <w:r>
              <w:rPr>
                <w:rFonts w:ascii="Aptos" w:hAnsi="Aptos" w:eastAsia="Aptos" w:cs="Aptos"/>
                <w:b w:val="0"/>
                <w:sz w:val="16"/>
              </w:rPr>
              <w:t>2.0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authenticated_workspace</w:t>
            </w:r>
          </w:p>
        </w:tc>
        <w:tc>
          <w:tcPr>
            <w:tcW w:type="dxa" w:w="4104"/>
            <w:vAlign w:val="center"/>
          </w:tcPr>
          <w:p>
            <w:pPr>
              <w:spacing w:after="0" w:line="240" w:lineRule="auto"/>
            </w:pPr>
            <w:r/>
            <w:r>
              <w:rPr>
                <w:rFonts w:ascii="Aptos" w:hAnsi="Aptos" w:eastAsia="Aptos" w:cs="Aptos"/>
                <w:b w:val="0"/>
                <w:sz w:val="16"/>
              </w:rPr>
              <w:t>Sign in as admin@bazaarbridge.test with password [redacted demo password]. Confirm the signed-in workspace visibly identifies the Administrator role and shows populated marketplace data. Pre-login demo text does not count.</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dashboard_metrics</w:t>
            </w:r>
          </w:p>
        </w:tc>
        <w:tc>
          <w:tcPr>
            <w:tcW w:type="dxa" w:w="4104"/>
            <w:vAlign w:val="center"/>
          </w:tcPr>
          <w:p>
            <w:pPr>
              <w:spacing w:after="0" w:line="240" w:lineRule="auto"/>
            </w:pPr>
            <w:r/>
            <w:r>
              <w:rPr>
                <w:rFonts w:ascii="Aptos" w:hAnsi="Aptos" w:eastAsia="Aptos" w:cs="Aptos"/>
                <w:b w:val="0"/>
                <w:sz w:val="16"/>
              </w:rPr>
              <w:t>On the Dashboard, confirm gross sales equals the sum of all visible order totals (seed total 1258), order count equals the number of orders (6), ready payout equals the sum of Approved payouts only (24380 from PAY-301, with Requested and Review excluded), and total owed to merchants equals the sum of every merchant's net payable (seed total 243.20, being Alba Home 81.40 plus Brook Outdoor 161.80). If orders have already been moved into or out of Shipped earlier in this evaluation, require the owed figure to match the sum of the settlement statements currently displayed.</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order_search_and_filter</w:t>
            </w:r>
          </w:p>
        </w:tc>
        <w:tc>
          <w:tcPr>
            <w:tcW w:type="dxa" w:w="4104"/>
            <w:vAlign w:val="center"/>
          </w:tcPr>
          <w:p>
            <w:pPr>
              <w:spacing w:after="0" w:line="240" w:lineRule="auto"/>
            </w:pPr>
            <w:r/>
            <w:r>
              <w:rPr>
                <w:rFonts w:ascii="Aptos" w:hAnsi="Aptos" w:eastAsia="Aptos" w:cs="Aptos"/>
                <w:b w:val="0"/>
                <w:sz w:val="16"/>
              </w:rPr>
              <w:t>On Orders, search for Nora Ellis and require every visible result to match that customer. Clear search, filter to Shipped, and require every visible result to show Shipped (seed has BB-1046 and BB-1044). Restore the full collection afterwards.</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Fail</w:t>
            </w:r>
          </w:p>
        </w:tc>
      </w:tr>
      <w:tr>
        <w:trPr>
          <w:cantSplit/>
          <w:trHeight w:hRule="auto"/>
        </w:trPr>
        <w:tc>
          <w:tcPr>
            <w:tcW w:type="dxa" w:w="2016"/>
            <w:vAlign w:val="center"/>
          </w:tcPr>
          <w:p>
            <w:pPr>
              <w:spacing w:after="0" w:line="240" w:lineRule="auto"/>
            </w:pPr>
            <w:r/>
            <w:r>
              <w:rPr>
                <w:rFonts w:ascii="Aptos" w:hAnsi="Aptos" w:eastAsia="Aptos" w:cs="Aptos"/>
                <w:b w:val="0"/>
                <w:sz w:val="16"/>
              </w:rPr>
              <w:t>order_status_update</w:t>
            </w:r>
          </w:p>
        </w:tc>
        <w:tc>
          <w:tcPr>
            <w:tcW w:type="dxa" w:w="4104"/>
            <w:vAlign w:val="center"/>
          </w:tcPr>
          <w:p>
            <w:pPr>
              <w:spacing w:after="0" w:line="240" w:lineRule="auto"/>
            </w:pPr>
            <w:r/>
            <w:r>
              <w:rPr>
                <w:rFonts w:ascii="Aptos" w:hAnsi="Aptos" w:eastAsia="Aptos" w:cs="Aptos"/>
                <w:b w:val="0"/>
                <w:sz w:val="16"/>
              </w:rPr>
              <w:t>As Administrator, change only BB-1048 from New to Packed using whatever control the product provides for updating order status. Refresh Orders. Confirm BB-1048 remains Packed while another seeded order such as BB-1047 stays at its recorded status.</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inventory_update</w:t>
            </w:r>
          </w:p>
        </w:tc>
        <w:tc>
          <w:tcPr>
            <w:tcW w:type="dxa" w:w="4104"/>
            <w:vAlign w:val="center"/>
          </w:tcPr>
          <w:p>
            <w:pPr>
              <w:spacing w:after="0" w:line="240" w:lineRule="auto"/>
            </w:pPr>
            <w:r/>
            <w:r>
              <w:rPr>
                <w:rFonts w:ascii="Aptos" w:hAnsi="Aptos" w:eastAsia="Aptos" w:cs="Aptos"/>
                <w:b w:val="0"/>
                <w:sz w:val="16"/>
              </w:rPr>
              <w:t>As Administrator, change only AL-LAMP-1 stock from 18 to a different valid value such as 41. Refresh Inventory. Confirm AL-LAMP-1 keeps the new stock while comparison SKU AL-THROW-4 stays at 7.</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payout_status_update</w:t>
            </w:r>
          </w:p>
        </w:tc>
        <w:tc>
          <w:tcPr>
            <w:tcW w:type="dxa" w:w="4104"/>
            <w:vAlign w:val="center"/>
          </w:tcPr>
          <w:p>
            <w:pPr>
              <w:spacing w:after="0" w:line="240" w:lineRule="auto"/>
            </w:pPr>
            <w:r/>
            <w:r>
              <w:rPr>
                <w:rFonts w:ascii="Aptos" w:hAnsi="Aptos" w:eastAsia="Aptos" w:cs="Aptos"/>
                <w:b w:val="0"/>
                <w:sz w:val="16"/>
              </w:rPr>
              <w:t>As Administrator, change PAY-303 from Review to Approved. Refresh Payouts. Confirm PAY-303 remains Approved while comparison payout PAY-302 stays Requested.</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low_stock_flagging</w:t>
            </w:r>
          </w:p>
        </w:tc>
        <w:tc>
          <w:tcPr>
            <w:tcW w:type="dxa" w:w="4104"/>
            <w:vAlign w:val="center"/>
          </w:tcPr>
          <w:p>
            <w:pPr>
              <w:spacing w:after="0" w:line="240" w:lineRule="auto"/>
            </w:pPr>
            <w:r/>
            <w:r>
              <w:rPr>
                <w:rFonts w:ascii="Aptos" w:hAnsi="Aptos" w:eastAsia="Aptos" w:cs="Aptos"/>
                <w:b w:val="0"/>
                <w:sz w:val="16"/>
              </w:rPr>
              <w:t>On Inventory, confirm every SKU whose stock is at or below its reorder level is visibly flagged as low stock, and at least one SKU whose stock is above reorder level is not flagged. With seed data that means AL-THROW-4 and BR-PACK-2 start flagged. Raise a currently low SKU above its reorder level (for example AL-THROW-4 to 20) and confirm its flag clears. Drop a currently healthy SKU at or below reorder (for example CI-STONE-3 from 22 to 5, reorder 10) and confirm a low-stock flag appears on that SKU.</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ready_payout_consistency</w:t>
            </w:r>
          </w:p>
        </w:tc>
        <w:tc>
          <w:tcPr>
            <w:tcW w:type="dxa" w:w="4104"/>
            <w:vAlign w:val="center"/>
          </w:tcPr>
          <w:p>
            <w:pPr>
              <w:spacing w:after="0" w:line="240" w:lineRule="auto"/>
            </w:pPr>
            <w:r/>
            <w:r>
              <w:rPr>
                <w:rFonts w:ascii="Aptos" w:hAnsi="Aptos" w:eastAsia="Aptos" w:cs="Aptos"/>
                <w:b w:val="0"/>
                <w:sz w:val="16"/>
              </w:rPr>
              <w:t>Read the Dashboard ready-payout figure. If PAY-303 is not yet Approved, approve it and confirm ready payout rises by 10000 (seed start 24380 becomes 34380). If PAY-303 was already Approved earlier in this evaluation, confirm ready payout already includes that 10000. Then move one Approved payout to Paid and confirm ready payout drops by that payout's amount. Figures must come from live data after the changes, not a boot-time snapshot.</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invalid_stock_refusal</w:t>
            </w:r>
          </w:p>
        </w:tc>
        <w:tc>
          <w:tcPr>
            <w:tcW w:type="dxa" w:w="4104"/>
            <w:vAlign w:val="center"/>
          </w:tcPr>
          <w:p>
            <w:pPr>
              <w:spacing w:after="0" w:line="240" w:lineRule="auto"/>
            </w:pPr>
            <w:r/>
            <w:r>
              <w:rPr>
                <w:rFonts w:ascii="Aptos" w:hAnsi="Aptos" w:eastAsia="Aptos" w:cs="Aptos"/>
                <w:b w:val="0"/>
                <w:sz w:val="16"/>
              </w:rPr>
              <w:t>Choose a seeded SKU that this evaluation has not already mutated for a negative-stock check (prefer BR-TENT-1 at seed stock 12). Attempt to set its stock to a negative value. Confirm a visible refusal reason appears, reload, and confirm the stored stock is unchanged from its pre-attempt value. Immediately afterwards set a valid non-negative stock and confirm that valid update succeeds and persists.</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terminal_returned_status</w:t>
            </w:r>
          </w:p>
        </w:tc>
        <w:tc>
          <w:tcPr>
            <w:tcW w:type="dxa" w:w="4104"/>
            <w:vAlign w:val="center"/>
          </w:tcPr>
          <w:p>
            <w:pPr>
              <w:spacing w:after="0" w:line="240" w:lineRule="auto"/>
            </w:pPr>
            <w:r/>
            <w:r>
              <w:rPr>
                <w:rFonts w:ascii="Aptos" w:hAnsi="Aptos" w:eastAsia="Aptos" w:cs="Aptos"/>
                <w:b w:val="0"/>
                <w:sz w:val="16"/>
              </w:rPr>
              <w:t>Attempt to move Returned order BB-1043 to Packed or Shipped. Confirm a visible refusal, reload, and confirm BB-1043 still reads Returned. A non-Returned order that is still at a mutable status may still be updated successfully in the same session.</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mutation_activity_trail</w:t>
            </w:r>
          </w:p>
        </w:tc>
        <w:tc>
          <w:tcPr>
            <w:tcW w:type="dxa" w:w="4104"/>
            <w:vAlign w:val="center"/>
          </w:tcPr>
          <w:p>
            <w:pPr>
              <w:spacing w:after="0" w:line="240" w:lineRule="auto"/>
            </w:pPr>
            <w:r/>
            <w:r>
              <w:rPr>
                <w:rFonts w:ascii="Aptos" w:hAnsi="Aptos" w:eastAsia="Aptos" w:cs="Aptos"/>
                <w:b w:val="0"/>
                <w:sz w:val="16"/>
              </w:rPr>
              <w:t>After any successful order-status, inventory-stock, or payout-status mutation performed in this evaluation, open Dashboard recent activity and confirm a new entry names the action, the affected record, the acting Administrator (Ari Morgan or equivalent signed-in name), and a time. Seeded activity alone does not pass. The entry must remain after reload.</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persistence</w:t>
            </w:r>
          </w:p>
        </w:tc>
        <w:tc>
          <w:tcPr>
            <w:tcW w:type="dxa" w:w="4104"/>
            <w:vAlign w:val="center"/>
          </w:tcPr>
          <w:p>
            <w:pPr>
              <w:spacing w:after="0" w:line="240" w:lineRule="auto"/>
            </w:pPr>
            <w:r/>
            <w:r>
              <w:rPr>
                <w:rFonts w:ascii="Aptos" w:hAnsi="Aptos" w:eastAsia="Aptos" w:cs="Aptos"/>
                <w:b w:val="0"/>
                <w:sz w:val="16"/>
              </w:rPr>
              <w:t>After any successful order-status, inventory-stock, or payout-status mutation, reload the page, sign in again as Administrator, and confirm the mutation remains in the relevant workspace.</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settlement_seed_figures</w:t>
            </w:r>
          </w:p>
        </w:tc>
        <w:tc>
          <w:tcPr>
            <w:tcW w:type="dxa" w:w="4104"/>
            <w:vAlign w:val="center"/>
          </w:tcPr>
          <w:p>
            <w:pPr>
              <w:spacing w:after="0" w:line="240" w:lineRule="auto"/>
            </w:pPr>
            <w:r/>
            <w:r>
              <w:rPr>
                <w:rFonts w:ascii="Aptos" w:hAnsi="Aptos" w:eastAsia="Aptos" w:cs="Aptos"/>
                <w:b w:val="0"/>
                <w:sz w:val="16"/>
              </w:rPr>
              <w:t>Find the per-merchant settlement statements. Before any order in this evaluation has been moved into or out of Shipped, confirm the net payable figures read Alba Home 81.40, Brook Outdoor 161.80, and Cinder Living 0.00. If orders have already been moved earlier in this evaluation, recompute the expected values from the rules below using the current order statuses and confirm the displayed figures match.</w:t>
              <w:br/>
              <w:br/>
              <w:t>The rules are: only Shipped orders are payable; for each payable order the commission is 12% of the order total below 150, 9% from 150 up to but not including 300, and 6% from 300 upward; the processing fee is 2.9% of the order total rounded half up to cents plus a flat 0.30; the order net is total minus commission minus processing fee. Fail if a merchant with no Shipped orders is missing or shows a non-zero net.</w:t>
              <w:br/>
            </w:r>
          </w:p>
        </w:tc>
        <w:tc>
          <w:tcPr>
            <w:tcW w:type="dxa" w:w="792"/>
            <w:vAlign w:val="center"/>
          </w:tcPr>
          <w:p>
            <w:pPr>
              <w:spacing w:after="0" w:line="240" w:lineRule="auto"/>
            </w:pPr>
            <w:r/>
            <w:r>
              <w:rPr>
                <w:rFonts w:ascii="Aptos" w:hAnsi="Aptos" w:eastAsia="Aptos" w:cs="Aptos"/>
                <w:b w:val="0"/>
                <w:sz w:val="16"/>
              </w:rPr>
              <w:t>2.0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Fail</w:t>
            </w:r>
          </w:p>
        </w:tc>
      </w:tr>
      <w:tr>
        <w:trPr>
          <w:cantSplit/>
          <w:trHeight w:hRule="auto"/>
        </w:trPr>
        <w:tc>
          <w:tcPr>
            <w:tcW w:type="dxa" w:w="2016"/>
            <w:vAlign w:val="center"/>
          </w:tcPr>
          <w:p>
            <w:pPr>
              <w:spacing w:after="0" w:line="240" w:lineRule="auto"/>
            </w:pPr>
            <w:r/>
            <w:r>
              <w:rPr>
                <w:rFonts w:ascii="Aptos" w:hAnsi="Aptos" w:eastAsia="Aptos" w:cs="Aptos"/>
                <w:b w:val="0"/>
                <w:sz w:val="16"/>
              </w:rPr>
              <w:t>settlement_tier_boundary</w:t>
            </w:r>
          </w:p>
        </w:tc>
        <w:tc>
          <w:tcPr>
            <w:tcW w:type="dxa" w:w="4104"/>
            <w:vAlign w:val="center"/>
          </w:tcPr>
          <w:p>
            <w:pPr>
              <w:spacing w:after="0" w:line="240" w:lineRule="auto"/>
            </w:pPr>
            <w:r/>
            <w:r>
              <w:rPr>
                <w:rFonts w:ascii="Aptos" w:hAnsi="Aptos" w:eastAsia="Aptos" w:cs="Aptos"/>
                <w:b w:val="0"/>
                <w:sz w:val="16"/>
              </w:rPr>
              <w:t>Move BB-1047 (Brook Outdoor, total 300, seed status Packed) to Shipped. Its total sits exactly on a band edge and must be charged the 6% commission band, not 9%. Confirm Brook Outdoor's net payable becomes 434.80, which is the seed 161.80 plus an order net of 273.00 (300 minus 18.00 commission minus 9.00 processing). A figure of 425.80 means the boundary was charged at 9% and must fail.</w:t>
              <w:br/>
            </w:r>
          </w:p>
        </w:tc>
        <w:tc>
          <w:tcPr>
            <w:tcW w:type="dxa" w:w="792"/>
            <w:vAlign w:val="center"/>
          </w:tcPr>
          <w:p>
            <w:pPr>
              <w:spacing w:after="0" w:line="240" w:lineRule="auto"/>
            </w:pPr>
            <w:r/>
            <w:r>
              <w:rPr>
                <w:rFonts w:ascii="Aptos" w:hAnsi="Aptos" w:eastAsia="Aptos" w:cs="Aptos"/>
                <w:b w:val="0"/>
                <w:sz w:val="16"/>
              </w:rPr>
              <w:t>2.0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Fail</w:t>
            </w:r>
          </w:p>
        </w:tc>
      </w:tr>
      <w:tr>
        <w:trPr>
          <w:cantSplit/>
          <w:trHeight w:hRule="auto"/>
        </w:trPr>
        <w:tc>
          <w:tcPr>
            <w:tcW w:type="dxa" w:w="2016"/>
            <w:vAlign w:val="center"/>
          </w:tcPr>
          <w:p>
            <w:pPr>
              <w:spacing w:after="0" w:line="240" w:lineRule="auto"/>
            </w:pPr>
            <w:r/>
            <w:r>
              <w:rPr>
                <w:rFonts w:ascii="Aptos" w:hAnsi="Aptos" w:eastAsia="Aptos" w:cs="Aptos"/>
                <w:b w:val="0"/>
                <w:sz w:val="16"/>
              </w:rPr>
              <w:t>settlement_live_recalculation</w:t>
            </w:r>
          </w:p>
        </w:tc>
        <w:tc>
          <w:tcPr>
            <w:tcW w:type="dxa" w:w="4104"/>
            <w:vAlign w:val="center"/>
          </w:tcPr>
          <w:p>
            <w:pPr>
              <w:spacing w:after="0" w:line="240" w:lineRule="auto"/>
            </w:pPr>
            <w:r/>
            <w:r>
              <w:rPr>
                <w:rFonts w:ascii="Aptos" w:hAnsi="Aptos" w:eastAsia="Aptos" w:cs="Aptos"/>
                <w:b w:val="0"/>
                <w:sz w:val="16"/>
              </w:rPr>
              <w:t>Move BB-1048 (Alba Home, total 240, seed status New) to Shipped and confirm Alba Home's net payable rises by exactly 211.14 (240 minus 21.60 commission at 9% minus 7.26 processing). Reload and confirm the figure is still derived from current data rather than a stored or boot-time constant. Fail if the statement only changes after a restart, or does not change at all.</w:t>
              <w:br/>
            </w:r>
          </w:p>
        </w:tc>
        <w:tc>
          <w:tcPr>
            <w:tcW w:type="dxa" w:w="792"/>
            <w:vAlign w:val="center"/>
          </w:tcPr>
          <w:p>
            <w:pPr>
              <w:spacing w:after="0" w:line="240" w:lineRule="auto"/>
            </w:pPr>
            <w:r/>
            <w:r>
              <w:rPr>
                <w:rFonts w:ascii="Aptos" w:hAnsi="Aptos" w:eastAsia="Aptos" w:cs="Aptos"/>
                <w:b w:val="0"/>
                <w:sz w:val="16"/>
              </w:rPr>
              <w:t>2.0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Fail</w:t>
            </w:r>
          </w:p>
        </w:tc>
      </w:tr>
      <w:tr>
        <w:trPr>
          <w:cantSplit/>
          <w:trHeight w:hRule="auto"/>
        </w:trPr>
        <w:tc>
          <w:tcPr>
            <w:tcW w:type="dxa" w:w="2016"/>
            <w:vAlign w:val="center"/>
          </w:tcPr>
          <w:p>
            <w:pPr>
              <w:spacing w:after="0" w:line="240" w:lineRule="auto"/>
            </w:pPr>
            <w:r/>
            <w:r>
              <w:rPr>
                <w:rFonts w:ascii="Aptos" w:hAnsi="Aptos" w:eastAsia="Aptos" w:cs="Aptos"/>
                <w:b w:val="0"/>
                <w:sz w:val="16"/>
              </w:rPr>
              <w:t>settlement_excludes_unfulfilled</w:t>
            </w:r>
          </w:p>
        </w:tc>
        <w:tc>
          <w:tcPr>
            <w:tcW w:type="dxa" w:w="4104"/>
            <w:vAlign w:val="center"/>
          </w:tcPr>
          <w:p>
            <w:pPr>
              <w:spacing w:after="0" w:line="240" w:lineRule="auto"/>
            </w:pPr>
            <w:r/>
            <w:r>
              <w:rPr>
                <w:rFonts w:ascii="Aptos" w:hAnsi="Aptos" w:eastAsia="Aptos" w:cs="Aptos"/>
                <w:b w:val="0"/>
                <w:sz w:val="16"/>
              </w:rPr>
              <w:t>Confirm orders that are not Shipped never contribute to a settlement. Returned BB-1043 (Alba Home, total 310) must not appear in Alba Home's statement or its net, and On hold BB-1045 (Cinder Living, total 128) must not appear in Cinder Living's. Then move a currently Shipped order to Returned (for example BB-1046, Alba Home, total 96, order net 81.40) and confirm that order net is removed from the merchant's total.</w:t>
              <w:br/>
            </w:r>
          </w:p>
        </w:tc>
        <w:tc>
          <w:tcPr>
            <w:tcW w:type="dxa" w:w="792"/>
            <w:vAlign w:val="center"/>
          </w:tcPr>
          <w:p>
            <w:pPr>
              <w:spacing w:after="0" w:line="240" w:lineRule="auto"/>
            </w:pPr>
            <w:r/>
            <w:r>
              <w:rPr>
                <w:rFonts w:ascii="Aptos" w:hAnsi="Aptos" w:eastAsia="Aptos" w:cs="Aptos"/>
                <w:b w:val="0"/>
                <w:sz w:val="16"/>
              </w:rPr>
              <w:t>2.0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payout_authority_boundary</w:t>
            </w:r>
          </w:p>
        </w:tc>
        <w:tc>
          <w:tcPr>
            <w:tcW w:type="dxa" w:w="4104"/>
            <w:vAlign w:val="center"/>
          </w:tcPr>
          <w:p>
            <w:pPr>
              <w:spacing w:after="0" w:line="240" w:lineRule="auto"/>
            </w:pPr>
            <w:r/>
            <w:r>
              <w:rPr>
                <w:rFonts w:ascii="Aptos" w:hAnsi="Aptos" w:eastAsia="Aptos" w:cs="Aptos"/>
                <w:b w:val="0"/>
                <w:sz w:val="16"/>
              </w:rPr>
              <w:t>Sign in as operator@bazaarbridge.test with password [redacted demo password], who is the Operations lead. Confirm this person cannot change a payout status: either the payout control is visibly unavailable to them with an explanation, or attempting the change produces a visible not-authorised refusal. Reload and confirm the payout status is unchanged. Then confirm the same person can still change an order status or inventory stock successfully, and can still read the settlement figures. Fail if the Operations lead can complete a payout status change.</w:t>
              <w:br/>
            </w:r>
          </w:p>
        </w:tc>
        <w:tc>
          <w:tcPr>
            <w:tcW w:type="dxa" w:w="792"/>
            <w:vAlign w:val="center"/>
          </w:tcPr>
          <w:p>
            <w:pPr>
              <w:spacing w:after="0" w:line="240" w:lineRule="auto"/>
            </w:pPr>
            <w:r/>
            <w:r>
              <w:rPr>
                <w:rFonts w:ascii="Aptos" w:hAnsi="Aptos" w:eastAsia="Aptos" w:cs="Aptos"/>
                <w:b w:val="0"/>
                <w:sz w:val="16"/>
              </w:rPr>
              <w:t>2.0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operations_authority_boundary</w:t>
            </w:r>
          </w:p>
        </w:tc>
        <w:tc>
          <w:tcPr>
            <w:tcW w:type="dxa" w:w="4104"/>
            <w:vAlign w:val="center"/>
          </w:tcPr>
          <w:p>
            <w:pPr>
              <w:spacing w:after="0" w:line="240" w:lineRule="auto"/>
            </w:pPr>
            <w:r/>
            <w:r>
              <w:rPr>
                <w:rFonts w:ascii="Aptos" w:hAnsi="Aptos" w:eastAsia="Aptos" w:cs="Aptos"/>
                <w:b w:val="0"/>
                <w:sz w:val="16"/>
              </w:rPr>
              <w:t>Sign in as finance@bazaarbridge.test with password [redacted demo password], who is the Finance manager. Confirm this person cannot change an order status or inventory stock: either those controls are visibly unavailable to them with an explanation, or attempting a change produces a visible not-authorised refusal. Reload and confirm the order status and stock value are unchanged. Then confirm the same person can still change a payout status successfully. Fail if the Finance manager can complete an order status or stock change.</w:t>
              <w:br/>
            </w:r>
          </w:p>
        </w:tc>
        <w:tc>
          <w:tcPr>
            <w:tcW w:type="dxa" w:w="792"/>
            <w:vAlign w:val="center"/>
          </w:tcPr>
          <w:p>
            <w:pPr>
              <w:spacing w:after="0" w:line="240" w:lineRule="auto"/>
            </w:pPr>
            <w:r/>
            <w:r>
              <w:rPr>
                <w:rFonts w:ascii="Aptos" w:hAnsi="Aptos" w:eastAsia="Aptos" w:cs="Aptos"/>
                <w:b w:val="0"/>
                <w:sz w:val="16"/>
              </w:rPr>
              <w:t>2.0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theme_switching</w:t>
            </w:r>
          </w:p>
        </w:tc>
        <w:tc>
          <w:tcPr>
            <w:tcW w:type="dxa" w:w="4104"/>
            <w:vAlign w:val="center"/>
          </w:tcPr>
          <w:p>
            <w:pPr>
              <w:spacing w:after="0" w:line="240" w:lineRule="auto"/>
            </w:pPr>
            <w:r/>
            <w:r>
              <w:rPr>
                <w:rFonts w:ascii="Aptos" w:hAnsi="Aptos" w:eastAsia="Aptos" w:cs="Aptos"/>
                <w:b w:val="0"/>
                <w:sz w:val="16"/>
              </w:rPr>
              <w:t>Use the visible theme control and confirm it produces a clear rendered change between light and dark presentation while preserving legibility and the current workspace.</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Fail</w:t>
            </w:r>
          </w:p>
        </w:tc>
      </w:tr>
      <w:tr>
        <w:trPr>
          <w:cantSplit/>
          <w:trHeight w:hRule="auto"/>
        </w:trPr>
        <w:tc>
          <w:tcPr>
            <w:tcW w:type="dxa" w:w="2016"/>
            <w:vAlign w:val="center"/>
          </w:tcPr>
          <w:p>
            <w:pPr>
              <w:spacing w:after="0" w:line="240" w:lineRule="auto"/>
            </w:pPr>
            <w:r/>
            <w:r>
              <w:rPr>
                <w:rFonts w:ascii="Aptos" w:hAnsi="Aptos" w:eastAsia="Aptos" w:cs="Aptos"/>
                <w:b w:val="0"/>
                <w:sz w:val="16"/>
              </w:rPr>
              <w:t>responsive_layout</w:t>
            </w:r>
          </w:p>
        </w:tc>
        <w:tc>
          <w:tcPr>
            <w:tcW w:type="dxa" w:w="4104"/>
            <w:vAlign w:val="center"/>
          </w:tcPr>
          <w:p>
            <w:pPr>
              <w:spacing w:after="0" w:line="240" w:lineRule="auto"/>
            </w:pPr>
            <w:r/>
            <w:r>
              <w:rPr>
                <w:rFonts w:ascii="Aptos" w:hAnsi="Aptos" w:eastAsia="Aptos" w:cs="Aptos"/>
                <w:b w:val="0"/>
                <w:sz w:val="16"/>
              </w:rPr>
              <w:t>At a roughly 390 by 844 mobile viewport, confirm the main content fits without horizontal page overflow and Dashboard, Orders, Inventory, and Payouts remain reachable.</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Fail</w:t>
            </w:r>
          </w:p>
        </w:tc>
      </w:tr>
      <w:tr>
        <w:trPr>
          <w:cantSplit/>
          <w:trHeight w:hRule="auto"/>
        </w:trPr>
        <w:tc>
          <w:tcPr>
            <w:tcW w:type="dxa" w:w="2016"/>
            <w:vAlign w:val="center"/>
          </w:tcPr>
          <w:p>
            <w:pPr>
              <w:spacing w:after="0" w:line="240" w:lineRule="auto"/>
            </w:pPr>
            <w:r/>
            <w:r>
              <w:rPr>
                <w:rFonts w:ascii="Aptos" w:hAnsi="Aptos" w:eastAsia="Aptos" w:cs="Aptos"/>
                <w:b w:val="0"/>
                <w:sz w:val="16"/>
              </w:rPr>
              <w:t>accessible_controls</w:t>
            </w:r>
          </w:p>
        </w:tc>
        <w:tc>
          <w:tcPr>
            <w:tcW w:type="dxa" w:w="4104"/>
            <w:vAlign w:val="center"/>
          </w:tcPr>
          <w:p>
            <w:pPr>
              <w:spacing w:after="0" w:line="240" w:lineRule="auto"/>
            </w:pPr>
            <w:r/>
            <w:r>
              <w:rPr>
                <w:rFonts w:ascii="Aptos" w:hAnsi="Aptos" w:eastAsia="Aptos" w:cs="Aptos"/>
                <w:b w:val="0"/>
                <w:sz w:val="16"/>
              </w:rPr>
              <w:t>On the desktop signed-in experience, confirm a navigation landmark, a main landmark, meaningful headings, and accessible names or associated labels for visible buttons, inputs, and selects used in the workspaces.</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Fail</w:t>
            </w:r>
          </w:p>
        </w:tc>
      </w:tr>
      <w:tr>
        <w:trPr>
          <w:cantSplit/>
          <w:trHeight w:hRule="auto"/>
        </w:trPr>
        <w:tc>
          <w:tcPr>
            <w:tcW w:type="dxa" w:w="2016"/>
            <w:vAlign w:val="center"/>
          </w:tcPr>
          <w:p>
            <w:pPr>
              <w:spacing w:after="0" w:line="240" w:lineRule="auto"/>
            </w:pPr>
            <w:r/>
            <w:r>
              <w:rPr>
                <w:rFonts w:ascii="Aptos" w:hAnsi="Aptos" w:eastAsia="Aptos" w:cs="Aptos"/>
                <w:b w:val="0"/>
                <w:sz w:val="16"/>
              </w:rPr>
              <w:t>interaction_feedback</w:t>
            </w:r>
          </w:p>
        </w:tc>
        <w:tc>
          <w:tcPr>
            <w:tcW w:type="dxa" w:w="4104"/>
            <w:vAlign w:val="center"/>
          </w:tcPr>
          <w:p>
            <w:pPr>
              <w:spacing w:after="0" w:line="240" w:lineRule="auto"/>
            </w:pPr>
            <w:r/>
            <w:r>
              <w:rPr>
                <w:rFonts w:ascii="Aptos" w:hAnsi="Aptos" w:eastAsia="Aptos" w:cs="Aptos"/>
                <w:b w:val="0"/>
                <w:sz w:val="16"/>
              </w:rPr>
              <w:t>Confirm interactive controls have clear hover or focus feedback. Confirm forms or update controls communicate invalid actions with a visible reason while leaving the surrounding workspace coherent.</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workspace_coherence</w:t>
            </w:r>
          </w:p>
        </w:tc>
        <w:tc>
          <w:tcPr>
            <w:tcW w:type="dxa" w:w="4104"/>
            <w:vAlign w:val="center"/>
          </w:tcPr>
          <w:p>
            <w:pPr>
              <w:spacing w:after="0" w:line="240" w:lineRule="auto"/>
            </w:pPr>
            <w:r/>
            <w:r>
              <w:rPr>
                <w:rFonts w:ascii="Aptos" w:hAnsi="Aptos" w:eastAsia="Aptos" w:cs="Aptos"/>
                <w:b w:val="0"/>
                <w:sz w:val="16"/>
              </w:rPr>
              <w:t>Open and close any order-status, inventory, or payout update surface the product provides (inline control, dialog, drawer, or page section). Confirm the surrounding workspace remains usable and is not permanently obscured or broken.</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authenticated_render</w:t>
            </w:r>
          </w:p>
        </w:tc>
        <w:tc>
          <w:tcPr>
            <w:tcW w:type="dxa" w:w="4104"/>
            <w:vAlign w:val="center"/>
          </w:tcPr>
          <w:p>
            <w:pPr>
              <w:spacing w:after="0" w:line="240" w:lineRule="auto"/>
            </w:pPr>
            <w:r/>
            <w:r>
              <w:rPr>
                <w:rFonts w:ascii="Aptos" w:hAnsi="Aptos" w:eastAsia="Aptos" w:cs="Aptos"/>
                <w:b w:val="0"/>
                <w:sz w:val="16"/>
              </w:rPr>
              <w:t>Open the app, sign in with the demo Administrator account, and confirm a substantive, usable marketplace dashboard renders with populated content and without a fatal browser error or broken page.</w:t>
              <w:br/>
            </w:r>
          </w:p>
        </w:tc>
        <w:tc>
          <w:tcPr>
            <w:tcW w:type="dxa" w:w="792"/>
            <w:vAlign w:val="center"/>
          </w:tcPr>
          <w:p>
            <w:pPr>
              <w:spacing w:after="0" w:line="240" w:lineRule="auto"/>
            </w:pPr>
            <w:r/>
            <w:r>
              <w:rPr>
                <w:rFonts w:ascii="Aptos" w:hAnsi="Aptos" w:eastAsia="Aptos" w:cs="Aptos"/>
                <w:b w:val="0"/>
                <w:sz w:val="16"/>
              </w:rPr>
              <w:t>2.0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r>
        <w:trPr>
          <w:cantSplit/>
          <w:trHeight w:hRule="auto"/>
        </w:trPr>
        <w:tc>
          <w:tcPr>
            <w:tcW w:type="dxa" w:w="2016"/>
            <w:vAlign w:val="center"/>
          </w:tcPr>
          <w:p>
            <w:pPr>
              <w:spacing w:after="0" w:line="240" w:lineRule="auto"/>
            </w:pPr>
            <w:r/>
            <w:r>
              <w:rPr>
                <w:rFonts w:ascii="Aptos" w:hAnsi="Aptos" w:eastAsia="Aptos" w:cs="Aptos"/>
                <w:b w:val="0"/>
                <w:sz w:val="16"/>
              </w:rPr>
              <w:t>workspace_rendering</w:t>
            </w:r>
          </w:p>
        </w:tc>
        <w:tc>
          <w:tcPr>
            <w:tcW w:type="dxa" w:w="4104"/>
            <w:vAlign w:val="center"/>
          </w:tcPr>
          <w:p>
            <w:pPr>
              <w:spacing w:after="0" w:line="240" w:lineRule="auto"/>
            </w:pPr>
            <w:r/>
            <w:r>
              <w:rPr>
                <w:rFonts w:ascii="Aptos" w:hAnsi="Aptos" w:eastAsia="Aptos" w:cs="Aptos"/>
                <w:b w:val="0"/>
                <w:sz w:val="16"/>
              </w:rPr>
              <w:t>Open Dashboard, Orders, Inventory, and Payouts. Each destination must visibly activate and show its own meaningful heading and content; multiple labels pointing to one unchanged screen do not pass.</w:t>
              <w:br/>
            </w:r>
          </w:p>
        </w:tc>
        <w:tc>
          <w:tcPr>
            <w:tcW w:type="dxa" w:w="792"/>
            <w:vAlign w:val="center"/>
          </w:tcPr>
          <w:p>
            <w:pPr>
              <w:spacing w:after="0" w:line="240" w:lineRule="auto"/>
            </w:pPr>
            <w:r/>
            <w:r>
              <w:rPr>
                <w:rFonts w:ascii="Aptos" w:hAnsi="Aptos" w:eastAsia="Aptos" w:cs="Aptos"/>
                <w:b w:val="0"/>
                <w:sz w:val="16"/>
              </w:rPr>
              <w:t>1.0</w:t>
            </w:r>
          </w:p>
        </w:tc>
        <w:tc>
          <w:tcPr>
            <w:tcW w:type="dxa" w:w="792"/>
            <w:vAlign w:val="center"/>
          </w:tcPr>
          <w:p>
            <w:pPr>
              <w:spacing w:after="0" w:line="240" w:lineRule="auto"/>
            </w:pPr>
            <w:r/>
            <w:r>
              <w:rPr>
                <w:rFonts w:ascii="Aptos" w:hAnsi="Aptos" w:eastAsia="Aptos" w:cs="Aptos"/>
                <w:b w:val="0"/>
                <w:sz w:val="16"/>
              </w:rPr>
              <w:t>Pass</w:t>
            </w:r>
          </w:p>
        </w:tc>
        <w:tc>
          <w:tcPr>
            <w:tcW w:type="dxa" w:w="936"/>
            <w:vAlign w:val="center"/>
          </w:tcPr>
          <w:p>
            <w:pPr>
              <w:spacing w:after="0" w:line="240" w:lineRule="auto"/>
            </w:pPr>
            <w:r/>
            <w:r>
              <w:rPr>
                <w:rFonts w:ascii="Aptos" w:hAnsi="Aptos" w:eastAsia="Aptos" w:cs="Aptos"/>
                <w:b w:val="0"/>
                <w:sz w:val="16"/>
              </w:rPr>
              <w:t>Pass</w:t>
            </w:r>
          </w:p>
        </w:tc>
      </w:tr>
    </w:tbl>
    <w:p>
      <w:pPr>
        <w:spacing w:after="0"/>
      </w:pPr>
    </w:p>
    <w:p>
      <w:r>
        <w:rPr>
          <w:rFonts w:ascii="Aptos" w:hAnsi="Aptos" w:eastAsia="Aptos" w:cs="Aptos"/>
          <w:color w:val="191919"/>
          <w:sz w:val="21"/>
        </w:rPr>
        <w:br w:type="page"/>
      </w:r>
    </w:p>
    <w:p>
      <w:pPr>
        <w:pStyle w:val="Heading2"/>
        <w:keepNext/>
      </w:pPr>
      <w:r>
        <w:rPr>
          <w:rFonts w:ascii="Aptos" w:hAnsi="Aptos" w:eastAsia="Aptos" w:cs="Aptos"/>
          <w:b/>
          <w:color w:val="235D91"/>
          <w:sz w:val="28"/>
        </w:rPr>
        <w:t>Failure Categories (Model Run)</w:t>
      </w:r>
    </w:p>
    <w:p>
      <w:r>
        <w:rPr>
          <w:rFonts w:ascii="Aptos" w:hAnsi="Aptos" w:eastAsia="Aptos" w:cs="Aptos"/>
          <w:color w:val="191919"/>
          <w:sz w:val="21"/>
        </w:rPr>
        <w:t>7 criteria failed · 10 weighted points lost · Reward 0.585</w:t>
      </w:r>
    </w:p>
    <w:p>
      <w:pPr>
        <w:pStyle w:val="Heading3"/>
        <w:keepNext/>
      </w:pPr>
      <w:r>
        <w:rPr>
          <w:rFonts w:ascii="Aptos" w:hAnsi="Aptos" w:eastAsia="Aptos" w:cs="Aptos"/>
          <w:b/>
          <w:color w:val="235D91"/>
          <w:sz w:val="23"/>
        </w:rPr>
        <w:t>Settlement arithmetic and live recalculation</w:t>
      </w:r>
    </w:p>
    <w:p>
      <w:r>
        <w:rPr>
          <w:rFonts w:ascii="Aptos" w:hAnsi="Aptos" w:eastAsia="Aptos" w:cs="Aptos"/>
          <w:color w:val="191919"/>
          <w:sz w:val="21"/>
        </w:rPr>
        <w:t>Seed figures, the $300 commission boundary, and the shipped-order recalculation all produced materially incorrect merchant amounts.</w:t>
      </w:r>
    </w:p>
    <w:p>
      <w:pPr>
        <w:pStyle w:val="ListBullet"/>
        <w:spacing w:after="40" w:line="259" w:lineRule="auto"/>
      </w:pPr>
      <w:r>
        <w:rPr>
          <w:rFonts w:ascii="Aptos" w:hAnsi="Aptos" w:eastAsia="Aptos" w:cs="Aptos"/>
          <w:color w:val="191919"/>
          <w:sz w:val="21"/>
        </w:rPr>
        <w:t>settlement_seed_figures: Before this evaluation's Shipped-order transitions, statements showed Alba $0.51, Brook $1.27, Cinder $0.00 instead of the required 81.40, 161.80, and 0.00.</w:t>
      </w:r>
    </w:p>
    <w:p>
      <w:pPr>
        <w:pStyle w:val="ListBullet"/>
        <w:spacing w:after="40" w:line="259" w:lineRule="auto"/>
      </w:pPr>
      <w:r>
        <w:rPr>
          <w:rFonts w:ascii="Aptos" w:hAnsi="Aptos" w:eastAsia="Aptos" w:cs="Aptos"/>
          <w:color w:val="191919"/>
          <w:sz w:val="21"/>
        </w:rPr>
        <w:t>settlement_tier_boundary: After BB-1047 became Shipped, Brook displayed $3.52 rather than the required $434.80 using the 6% boundary tier.</w:t>
      </w:r>
    </w:p>
    <w:p>
      <w:pPr>
        <w:pStyle w:val="ListBullet"/>
        <w:spacing w:after="40" w:line="259" w:lineRule="auto"/>
      </w:pPr>
      <w:r>
        <w:rPr>
          <w:rFonts w:ascii="Aptos" w:hAnsi="Aptos" w:eastAsia="Aptos" w:cs="Aptos"/>
          <w:color w:val="191919"/>
          <w:sz w:val="21"/>
        </w:rPr>
        <w:t>settlement_live_recalculation: After BB-1048 became Shipped, Alba rose only from $0.51 to $2.25, not by the required $211.14; reload retained the incorrect value.</w:t>
      </w:r>
    </w:p>
    <w:p>
      <w:pPr>
        <w:pStyle w:val="Heading3"/>
        <w:keepNext/>
      </w:pPr>
      <w:r>
        <w:rPr>
          <w:rFonts w:ascii="Aptos" w:hAnsi="Aptos" w:eastAsia="Aptos" w:cs="Aptos"/>
          <w:b/>
          <w:color w:val="235D91"/>
          <w:sz w:val="23"/>
        </w:rPr>
        <w:t>Orders collection controls</w:t>
      </w:r>
    </w:p>
    <w:p>
      <w:r>
        <w:rPr>
          <w:rFonts w:ascii="Aptos" w:hAnsi="Aptos" w:eastAsia="Aptos" w:cs="Aptos"/>
          <w:color w:val="191919"/>
          <w:sz w:val="21"/>
        </w:rPr>
        <w:t>Customer search worked, but the required status-filter control was absent.</w:t>
      </w:r>
    </w:p>
    <w:p>
      <w:pPr>
        <w:pStyle w:val="ListBullet"/>
        <w:spacing w:after="40" w:line="259" w:lineRule="auto"/>
      </w:pPr>
      <w:r>
        <w:rPr>
          <w:rFonts w:ascii="Aptos" w:hAnsi="Aptos" w:eastAsia="Aptos" w:cs="Aptos"/>
          <w:color w:val="191919"/>
          <w:sz w:val="21"/>
        </w:rPr>
        <w:t>order_search_and_filter: Search returned only Nora Ellis, but no status-filter control was available to perform the required Shipped filter.</w:t>
      </w:r>
    </w:p>
    <w:p>
      <w:pPr>
        <w:pStyle w:val="Heading3"/>
        <w:keepNext/>
      </w:pPr>
      <w:r>
        <w:rPr>
          <w:rFonts w:ascii="Aptos" w:hAnsi="Aptos" w:eastAsia="Aptos" w:cs="Aptos"/>
          <w:b/>
          <w:color w:val="235D91"/>
          <w:sz w:val="23"/>
        </w:rPr>
        <w:t>Theme behavior</w:t>
      </w:r>
    </w:p>
    <w:p>
      <w:r>
        <w:rPr>
          <w:rFonts w:ascii="Aptos" w:hAnsi="Aptos" w:eastAsia="Aptos" w:cs="Aptos"/>
          <w:color w:val="191919"/>
          <w:sz w:val="21"/>
        </w:rPr>
        <w:t>The visible theme control navigated to a 404 route instead of changing presentation.</w:t>
      </w:r>
    </w:p>
    <w:p>
      <w:pPr>
        <w:pStyle w:val="ListBullet"/>
        <w:spacing w:after="40" w:line="259" w:lineRule="auto"/>
      </w:pPr>
      <w:r>
        <w:rPr>
          <w:rFonts w:ascii="Aptos" w:hAnsi="Aptos" w:eastAsia="Aptos" w:cs="Aptos"/>
          <w:color w:val="191919"/>
          <w:sz w:val="21"/>
        </w:rPr>
        <w:t>theme_switching: Toggle theme navigated to /back (404) instead of changing the rendered theme.</w:t>
      </w:r>
    </w:p>
    <w:p>
      <w:pPr>
        <w:pStyle w:val="Heading3"/>
        <w:keepNext/>
      </w:pPr>
      <w:r>
        <w:rPr>
          <w:rFonts w:ascii="Aptos" w:hAnsi="Aptos" w:eastAsia="Aptos" w:cs="Aptos"/>
          <w:b/>
          <w:color w:val="235D91"/>
          <w:sz w:val="23"/>
        </w:rPr>
        <w:t>Mobile layout</w:t>
      </w:r>
    </w:p>
    <w:p>
      <w:r>
        <w:rPr>
          <w:rFonts w:ascii="Aptos" w:hAnsi="Aptos" w:eastAsia="Aptos" w:cs="Aptos"/>
          <w:color w:val="191919"/>
          <w:sz w:val="21"/>
        </w:rPr>
        <w:t>Orders and Inventory exceeded the mobile viewport width at approximately 390 px.</w:t>
      </w:r>
    </w:p>
    <w:p>
      <w:pPr>
        <w:pStyle w:val="ListBullet"/>
        <w:spacing w:after="40" w:line="259" w:lineRule="auto"/>
      </w:pPr>
      <w:r>
        <w:rPr>
          <w:rFonts w:ascii="Aptos" w:hAnsi="Aptos" w:eastAsia="Aptos" w:cs="Aptos"/>
          <w:color w:val="191919"/>
          <w:sz w:val="21"/>
        </w:rPr>
        <w:t>responsive_layout: At 390px, Orders overflowed to 455px and Inventory to 591px, despite navigation links remaining reachable.</w:t>
      </w:r>
    </w:p>
    <w:p>
      <w:pPr>
        <w:pStyle w:val="Heading3"/>
        <w:keepNext/>
      </w:pPr>
      <w:r>
        <w:rPr>
          <w:rFonts w:ascii="Aptos" w:hAnsi="Aptos" w:eastAsia="Aptos" w:cs="Aptos"/>
          <w:b/>
          <w:color w:val="235D91"/>
          <w:sz w:val="23"/>
        </w:rPr>
        <w:t>Accessible control naming</w:t>
      </w:r>
    </w:p>
    <w:p>
      <w:r>
        <w:rPr>
          <w:rFonts w:ascii="Aptos" w:hAnsi="Aptos" w:eastAsia="Aptos" w:cs="Aptos"/>
          <w:color w:val="191919"/>
          <w:sz w:val="21"/>
        </w:rPr>
        <w:t>Landmarks and headings existed, but visible comboboxes and spinbuttons lacked accessible names or labels.</w:t>
      </w:r>
    </w:p>
    <w:p>
      <w:pPr>
        <w:pStyle w:val="ListBullet"/>
        <w:spacing w:after="40" w:line="259" w:lineRule="auto"/>
      </w:pPr>
      <w:r>
        <w:rPr>
          <w:rFonts w:ascii="Aptos" w:hAnsi="Aptos" w:eastAsia="Aptos" w:cs="Aptos"/>
          <w:color w:val="191919"/>
          <w:sz w:val="21"/>
        </w:rPr>
        <w:t>accessible_controls: Navigation, main, and headings were present, but workspace comboboxes and inventory spinbuttons lacked accessible names or labels.</w:t>
      </w:r>
    </w:p>
    <w:p>
      <w:pPr>
        <w:pStyle w:val="Heading2"/>
        <w:keepNext/>
      </w:pPr>
      <w:r>
        <w:rPr>
          <w:rFonts w:ascii="Aptos" w:hAnsi="Aptos" w:eastAsia="Aptos" w:cs="Aptos"/>
          <w:b/>
          <w:color w:val="235D91"/>
          <w:sz w:val="28"/>
        </w:rPr>
        <w:t>Failed Verifiers — Judge Reasoning (Summary)</w:t>
      </w:r>
    </w:p>
    <w:p>
      <w:pPr>
        <w:pStyle w:val="Heading3"/>
        <w:keepNext/>
      </w:pPr>
      <w:r>
        <w:rPr>
          <w:rFonts w:ascii="Aptos" w:hAnsi="Aptos" w:eastAsia="Aptos" w:cs="Aptos"/>
          <w:b/>
          <w:color w:val="235D91"/>
          <w:sz w:val="23"/>
        </w:rPr>
        <w:t>order_search_and_filter</w:t>
      </w:r>
    </w:p>
    <w:p>
      <w:pPr>
        <w:keepLines/>
      </w:pPr>
      <w:r>
        <w:rPr>
          <w:rFonts w:ascii="Aptos" w:hAnsi="Aptos" w:eastAsia="Aptos" w:cs="Aptos"/>
          <w:color w:val="191919"/>
          <w:sz w:val="21"/>
        </w:rPr>
        <w:t>Search returned only Nora Ellis, but no status-filter control was available to perform the required Shipped filter.</w:t>
      </w:r>
    </w:p>
    <w:p>
      <w:pPr>
        <w:pStyle w:val="Heading3"/>
        <w:keepNext/>
      </w:pPr>
      <w:r>
        <w:rPr>
          <w:rFonts w:ascii="Aptos" w:hAnsi="Aptos" w:eastAsia="Aptos" w:cs="Aptos"/>
          <w:b/>
          <w:color w:val="235D91"/>
          <w:sz w:val="23"/>
        </w:rPr>
        <w:t>settlement_seed_figures</w:t>
      </w:r>
    </w:p>
    <w:p>
      <w:pPr>
        <w:keepLines/>
      </w:pPr>
      <w:r>
        <w:rPr>
          <w:rFonts w:ascii="Aptos" w:hAnsi="Aptos" w:eastAsia="Aptos" w:cs="Aptos"/>
          <w:color w:val="191919"/>
          <w:sz w:val="21"/>
        </w:rPr>
        <w:t>Before this evaluation's Shipped-order transitions, statements showed Alba $0.51, Brook $1.27, Cinder $0.00 instead of the required 81.40, 161.80, and 0.00.</w:t>
      </w:r>
    </w:p>
    <w:p>
      <w:pPr>
        <w:pStyle w:val="Heading3"/>
        <w:keepNext/>
      </w:pPr>
      <w:r>
        <w:rPr>
          <w:rFonts w:ascii="Aptos" w:hAnsi="Aptos" w:eastAsia="Aptos" w:cs="Aptos"/>
          <w:b/>
          <w:color w:val="235D91"/>
          <w:sz w:val="23"/>
        </w:rPr>
        <w:t>settlement_tier_boundary</w:t>
      </w:r>
    </w:p>
    <w:p>
      <w:pPr>
        <w:keepLines/>
      </w:pPr>
      <w:r>
        <w:rPr>
          <w:rFonts w:ascii="Aptos" w:hAnsi="Aptos" w:eastAsia="Aptos" w:cs="Aptos"/>
          <w:color w:val="191919"/>
          <w:sz w:val="21"/>
        </w:rPr>
        <w:t>After BB-1047 became Shipped, Brook displayed $3.52 rather than the required $434.80 using the 6% boundary tier.</w:t>
      </w:r>
    </w:p>
    <w:p>
      <w:pPr>
        <w:pStyle w:val="Heading3"/>
        <w:keepNext/>
      </w:pPr>
      <w:r>
        <w:rPr>
          <w:rFonts w:ascii="Aptos" w:hAnsi="Aptos" w:eastAsia="Aptos" w:cs="Aptos"/>
          <w:b/>
          <w:color w:val="235D91"/>
          <w:sz w:val="23"/>
        </w:rPr>
        <w:t>settlement_live_recalculation</w:t>
      </w:r>
    </w:p>
    <w:p>
      <w:pPr>
        <w:keepLines/>
      </w:pPr>
      <w:r>
        <w:rPr>
          <w:rFonts w:ascii="Aptos" w:hAnsi="Aptos" w:eastAsia="Aptos" w:cs="Aptos"/>
          <w:color w:val="191919"/>
          <w:sz w:val="21"/>
        </w:rPr>
        <w:t>After BB-1048 became Shipped, Alba rose only from $0.51 to $2.25, not by the required $211.14; reload retained the incorrect value.</w:t>
      </w:r>
    </w:p>
    <w:p>
      <w:pPr>
        <w:pStyle w:val="Heading3"/>
        <w:keepNext/>
      </w:pPr>
      <w:r>
        <w:rPr>
          <w:rFonts w:ascii="Aptos" w:hAnsi="Aptos" w:eastAsia="Aptos" w:cs="Aptos"/>
          <w:b/>
          <w:color w:val="235D91"/>
          <w:sz w:val="23"/>
        </w:rPr>
        <w:t>theme_switching</w:t>
      </w:r>
    </w:p>
    <w:p>
      <w:pPr>
        <w:keepLines/>
      </w:pPr>
      <w:r>
        <w:rPr>
          <w:rFonts w:ascii="Aptos" w:hAnsi="Aptos" w:eastAsia="Aptos" w:cs="Aptos"/>
          <w:color w:val="191919"/>
          <w:sz w:val="21"/>
        </w:rPr>
        <w:t>Toggle theme navigated to /back (404) instead of changing the rendered theme.</w:t>
      </w:r>
    </w:p>
    <w:p>
      <w:pPr>
        <w:pStyle w:val="Heading3"/>
        <w:keepNext/>
      </w:pPr>
      <w:r>
        <w:rPr>
          <w:rFonts w:ascii="Aptos" w:hAnsi="Aptos" w:eastAsia="Aptos" w:cs="Aptos"/>
          <w:b/>
          <w:color w:val="235D91"/>
          <w:sz w:val="23"/>
        </w:rPr>
        <w:t>responsive_layout</w:t>
      </w:r>
    </w:p>
    <w:p>
      <w:pPr>
        <w:keepLines/>
      </w:pPr>
      <w:r>
        <w:rPr>
          <w:rFonts w:ascii="Aptos" w:hAnsi="Aptos" w:eastAsia="Aptos" w:cs="Aptos"/>
          <w:color w:val="191919"/>
          <w:sz w:val="21"/>
        </w:rPr>
        <w:t>At 390px, Orders overflowed to 455px and Inventory to 591px, despite navigation links remaining reachable.</w:t>
      </w:r>
    </w:p>
    <w:p>
      <w:pPr>
        <w:pStyle w:val="Heading3"/>
        <w:keepNext/>
      </w:pPr>
      <w:r>
        <w:rPr>
          <w:rFonts w:ascii="Aptos" w:hAnsi="Aptos" w:eastAsia="Aptos" w:cs="Aptos"/>
          <w:b/>
          <w:color w:val="235D91"/>
          <w:sz w:val="23"/>
        </w:rPr>
        <w:t>accessible_controls</w:t>
      </w:r>
    </w:p>
    <w:p>
      <w:pPr>
        <w:keepLines/>
      </w:pPr>
      <w:r>
        <w:rPr>
          <w:rFonts w:ascii="Aptos" w:hAnsi="Aptos" w:eastAsia="Aptos" w:cs="Aptos"/>
          <w:color w:val="191919"/>
          <w:sz w:val="21"/>
        </w:rPr>
        <w:t>Navigation, main, and headings were present, but workspace comboboxes and inventory spinbuttons lacked accessible names or labels.</w:t>
      </w:r>
    </w:p>
    <w:p>
      <w:pPr>
        <w:pStyle w:val="Heading2"/>
        <w:keepNext/>
      </w:pPr>
      <w:r>
        <w:rPr>
          <w:rFonts w:ascii="Aptos" w:hAnsi="Aptos" w:eastAsia="Aptos" w:cs="Aptos"/>
          <w:b/>
          <w:color w:val="235D91"/>
          <w:sz w:val="28"/>
        </w:rPr>
        <w:t>Method Notes</w:t>
      </w:r>
    </w:p>
    <w:p>
      <w:pPr>
        <w:pStyle w:val="ListBullet"/>
        <w:spacing w:after="40" w:line="259" w:lineRule="auto"/>
      </w:pPr>
      <w:r>
        <w:rPr>
          <w:rFonts w:ascii="Aptos" w:hAnsi="Aptos" w:eastAsia="Aptos" w:cs="Aptos"/>
          <w:color w:val="191919"/>
          <w:sz w:val="21"/>
        </w:rPr>
        <w:t>Oracle classification: capability-valid; model classification: capability-valid.</w:t>
      </w:r>
    </w:p>
    <w:p>
      <w:pPr>
        <w:pStyle w:val="ListBullet"/>
        <w:spacing w:after="40" w:line="259" w:lineRule="auto"/>
      </w:pPr>
      <w:r>
        <w:rPr>
          <w:rFonts w:ascii="Aptos" w:hAnsi="Aptos" w:eastAsia="Aptos" w:cs="Aptos"/>
          <w:color w:val="191919"/>
          <w:sz w:val="21"/>
        </w:rPr>
        <w:t>Task checksums do not match across the compared trials.</w:t>
      </w:r>
    </w:p>
    <w:p>
      <w:pPr>
        <w:pStyle w:val="ListBullet"/>
        <w:spacing w:after="40" w:line="259" w:lineRule="auto"/>
      </w:pPr>
      <w:r>
        <w:rPr>
          <w:rFonts w:ascii="Aptos" w:hAnsi="Aptos" w:eastAsia="Aptos" w:cs="Aptos"/>
          <w:color w:val="191919"/>
          <w:sz w:val="21"/>
        </w:rPr>
        <w:t>Results are from one rollout per agent and should be treated as descriptive, not as a stable population estimate.</w:t>
      </w:r>
    </w:p>
    <w:p>
      <w:pPr>
        <w:pStyle w:val="ListBullet"/>
        <w:spacing w:after="40" w:line="259" w:lineRule="auto"/>
      </w:pPr>
      <w:r>
        <w:rPr>
          <w:rFonts w:ascii="Aptos" w:hAnsi="Aptos" w:eastAsia="Aptos" w:cs="Aptos"/>
          <w:color w:val="191919"/>
          <w:sz w:val="21"/>
        </w:rPr>
        <w:t>Scores and judge summaries are transcribed from Harbor result.json plus RewardKit reward.json and reward-details.json artifacts; no credential values are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s="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cs="Aptos"/>
      <w:b/>
      <w:bCs/>
      <w:color w:val="235D91"/>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cs="Aptos"/>
      <w:b/>
      <w:bCs/>
      <w:color w:val="235D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eastAsia="Aptos Display" w:cs="Aptos Display"/>
      <w:b/>
      <w:color w:val="1F2D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cs="Aptos"/>
      <w:color w:val="191919"/>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BazaarBridge Marketplace Operations — Evaluation Report</dc:title>
  <dc:subject>Harbor web development task evaluation</dc:subject>
  <dc:creator>OpenAI Codex</dc:creator>
  <cp:keywords>Harbor, evaluation, verifier, Oracle, model</cp:keywords>
  <dc:description>generated by python-docx</dc:description>
  <cp:lastModifiedBy/>
  <cp:revision>1</cp:revision>
  <dcterms:created xsi:type="dcterms:W3CDTF">2013-12-23T23:15:00Z</dcterms:created>
  <dcterms:modified xsi:type="dcterms:W3CDTF">2013-12-23T23:15:00Z</dcterms:modified>
  <cp:category/>
</cp:coreProperties>
</file>