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spacing w:after="120"/>
        <w:jc w:val="center"/>
      </w:pPr>
      <w:r>
        <w:rPr>
          <w:b/>
          <w:bCs/>
          <w:color w:val="1B6E6C"/>
          <w:sz w:val="64"/>
          <w:szCs w:val="64"/>
        </w:rPr>
        <w:t xml:space="preserve">ROOTCAUSE</w:t>
      </w:r>
    </w:p>
    <w:p>
      <w:pPr>
        <w:spacing w:after="60"/>
        <w:jc w:val="center"/>
      </w:pPr>
      <w:r>
        <w:rPr>
          <w:b/>
          <w:bCs/>
          <w:color w:val="333333"/>
          <w:sz w:val="30"/>
          <w:szCs w:val="30"/>
        </w:rPr>
        <w:t xml:space="preserve">A Causal Consistency Layer for Multi-Metric Environmental AI Advisory</w:t>
      </w:r>
    </w:p>
    <w:p>
      <w:pPr>
        <w:spacing w:after="500"/>
        <w:jc w:val="center"/>
      </w:pPr>
      <w:r>
        <w:rPr>
          <w:i/>
          <w:iCs/>
          <w:color w:val="595959"/>
          <w:sz w:val="24"/>
          <w:szCs w:val="24"/>
        </w:rPr>
        <w:t xml:space="preserve">Project Blueprint</w:t>
      </w:r>
    </w:p>
    <w:p>
      <w:pPr>
        <w:pBdr>
          <w:top w:val="single" w:color="2CA6A4" w:sz="6" w:space="8"/>
        </w:pBdr>
        <w:spacing w:after="500"/>
        <w:jc w:val="center"/>
      </w:pPr>
      <w:r>
        <w:t xml:space="preserve"/>
      </w:r>
    </w:p>
    <w:p>
      <w:pPr>
        <w:spacing w:after="60"/>
        <w:jc w:val="center"/>
      </w:pPr>
      <w:r>
        <w:rPr>
          <w:color w:val="595959"/>
          <w:sz w:val="22"/>
          <w:szCs w:val="22"/>
        </w:rPr>
        <w:t xml:space="preserve">Prepared for</w:t>
      </w:r>
    </w:p>
    <w:p>
      <w:pPr>
        <w:spacing w:after="260"/>
        <w:jc w:val="center"/>
      </w:pPr>
      <w:r>
        <w:rPr>
          <w:b/>
          <w:bCs/>
          <w:sz w:val="24"/>
          <w:szCs w:val="24"/>
        </w:rPr>
        <w:t xml:space="preserve">Darukaa.Earth AI Biodiversity Intelligence Chatbot Challenge</w:t>
      </w:r>
    </w:p>
    <w:p>
      <w:pPr>
        <w:spacing w:after="60"/>
        <w:jc w:val="center"/>
      </w:pPr>
      <w:r>
        <w:rPr>
          <w:color w:val="595959"/>
          <w:sz w:val="22"/>
          <w:szCs w:val="22"/>
        </w:rPr>
        <w:t xml:space="preserve">Prepared by</w:t>
      </w:r>
    </w:p>
    <w:p>
      <w:pPr>
        <w:spacing w:after="40"/>
        <w:jc w:val="center"/>
      </w:pPr>
      <w:r>
        <w:rPr>
          <w:b/>
          <w:bCs/>
          <w:sz w:val="24"/>
          <w:szCs w:val="24"/>
        </w:rPr>
        <w:t xml:space="preserve">Md Rayyan</w:t>
      </w:r>
    </w:p>
    <w:p>
      <w:pPr>
        <w:spacing w:after="40"/>
        <w:jc w:val="center"/>
      </w:pPr>
      <w:r>
        <w:rPr>
          <w:color w:val="595959"/>
          <w:sz w:val="20"/>
          <w:szCs w:val="20"/>
        </w:rPr>
        <w:t xml:space="preserve">B.Tech CSE (Data Science), SVKM's NMIMS STME, Hyderabad Campus</w:t>
      </w:r>
    </w:p>
    <w:p>
      <w:pPr>
        <w:spacing w:after="900"/>
        <w:jc w:val="center"/>
      </w:pPr>
      <w:r>
        <w:rPr>
          <w:color w:val="595959"/>
          <w:sz w:val="19"/>
          <w:szCs w:val="19"/>
        </w:rPr>
        <w:t xml:space="preserve">github.com/Rayyan-mohammed  ·  rayyan-mohammed.vercel.app</w:t>
      </w:r>
    </w:p>
    <w:p>
      <w:pPr>
        <w:jc w:val="center"/>
      </w:pPr>
      <w:r>
        <w:rPr>
          <w:color w:val="595959"/>
          <w:sz w:val="20"/>
          <w:szCs w:val="20"/>
        </w:rPr>
        <w:t xml:space="preserve">September 2026</w:t>
      </w:r>
    </w:p>
    <w:p>
      <w:pPr>
        <w:sectPr>
          <w:pgSz w:w="12240" w:h="15840" w:orient="portrait"/>
          <w:pgMar w:top="1440" w:right="1440" w:bottom="1440" w:left="1440" w:header="708" w:footer="708" w:gutter="0"/>
          <w:pgNumType/>
          <w:docGrid w:linePitch="360"/>
        </w:sectPr>
      </w:pPr>
    </w:p>
    <w:p>
      <w:pPr>
        <w:pStyle w:val="Heading1"/>
        <w:spacing w:after="160" w:before="320"/>
      </w:pPr>
      <w:r>
        <w:t xml:space="preserve">Table of Contents</w:t>
      </w:r>
    </w:p>
    <w:p>
      <w:pPr>
        <w:spacing w:after="120"/>
      </w:pPr>
    </w:p>
    <w:p>
      <w:pPr>
        <w:tabs>
          <w:tab w:val="right" w:pos="9026" w:leader="dot"/>
        </w:tabs>
        <w:spacing w:after="140"/>
      </w:pPr>
      <w:r>
        <w:rPr>
          <w:sz w:val="22"/>
          <w:szCs w:val="22"/>
        </w:rPr>
        <w:t xml:space="preserve">1.  Executive Summary</w:t>
      </w:r>
      <w:r>
        <w:rPr>
          <w:sz w:val="22"/>
          <w:szCs w:val="22"/>
        </w:rPr>
        <w:t xml:space="preserve">	3</w:t>
      </w:r>
    </w:p>
    <w:p>
      <w:pPr>
        <w:tabs>
          <w:tab w:val="right" w:pos="9026" w:leader="dot"/>
        </w:tabs>
        <w:spacing w:after="140"/>
      </w:pPr>
      <w:r>
        <w:rPr>
          <w:sz w:val="22"/>
          <w:szCs w:val="22"/>
        </w:rPr>
        <w:t xml:space="preserve">2.  Background: The Darukaa.Earth Challenge</w:t>
      </w:r>
      <w:r>
        <w:rPr>
          <w:sz w:val="22"/>
          <w:szCs w:val="22"/>
        </w:rPr>
        <w:t xml:space="preserve">	3</w:t>
      </w:r>
    </w:p>
    <w:p>
      <w:pPr>
        <w:tabs>
          <w:tab w:val="right" w:pos="9026" w:leader="dot"/>
        </w:tabs>
        <w:spacing w:after="140"/>
      </w:pPr>
      <w:r>
        <w:rPr>
          <w:sz w:val="22"/>
          <w:szCs w:val="22"/>
        </w:rPr>
        <w:t xml:space="preserve">3.  Why This Matters</w:t>
      </w:r>
      <w:r>
        <w:rPr>
          <w:sz w:val="22"/>
          <w:szCs w:val="22"/>
        </w:rPr>
        <w:t xml:space="preserve">	4</w:t>
      </w:r>
    </w:p>
    <w:p>
      <w:pPr>
        <w:tabs>
          <w:tab w:val="right" w:pos="9026" w:leader="dot"/>
        </w:tabs>
        <w:spacing w:after="140"/>
      </w:pPr>
      <w:r>
        <w:rPr>
          <w:sz w:val="22"/>
          <w:szCs w:val="22"/>
        </w:rPr>
        <w:t xml:space="preserve">4.  The Research Gap</w:t>
      </w:r>
      <w:r>
        <w:rPr>
          <w:sz w:val="22"/>
          <w:szCs w:val="22"/>
        </w:rPr>
        <w:t xml:space="preserve">	4</w:t>
      </w:r>
    </w:p>
    <w:p>
      <w:pPr>
        <w:tabs>
          <w:tab w:val="right" w:pos="9026" w:leader="dot"/>
        </w:tabs>
        <w:spacing w:after="140"/>
      </w:pPr>
      <w:r>
        <w:rPr>
          <w:sz w:val="22"/>
          <w:szCs w:val="22"/>
        </w:rPr>
        <w:t xml:space="preserve">5.  Proposed Contribution: The Causal Consistency Checker</w:t>
      </w:r>
      <w:r>
        <w:rPr>
          <w:sz w:val="22"/>
          <w:szCs w:val="22"/>
        </w:rPr>
        <w:t xml:space="preserve">	5</w:t>
      </w:r>
    </w:p>
    <w:p>
      <w:pPr>
        <w:tabs>
          <w:tab w:val="right" w:pos="9026" w:leader="dot"/>
        </w:tabs>
        <w:spacing w:after="140"/>
      </w:pPr>
      <w:r>
        <w:rPr>
          <w:sz w:val="22"/>
          <w:szCs w:val="22"/>
        </w:rPr>
        <w:t xml:space="preserve">6.  System Architecture</w:t>
      </w:r>
      <w:r>
        <w:rPr>
          <w:sz w:val="22"/>
          <w:szCs w:val="22"/>
        </w:rPr>
        <w:t xml:space="preserve">	7</w:t>
      </w:r>
    </w:p>
    <w:p>
      <w:pPr>
        <w:tabs>
          <w:tab w:val="right" w:pos="9026" w:leader="dot"/>
        </w:tabs>
        <w:spacing w:after="140"/>
      </w:pPr>
      <w:r>
        <w:rPr>
          <w:sz w:val="22"/>
          <w:szCs w:val="22"/>
        </w:rPr>
        <w:t xml:space="preserve">7.  Data and Knowledge Sources</w:t>
      </w:r>
      <w:r>
        <w:rPr>
          <w:sz w:val="22"/>
          <w:szCs w:val="22"/>
        </w:rPr>
        <w:t xml:space="preserve">	7</w:t>
      </w:r>
    </w:p>
    <w:p>
      <w:pPr>
        <w:tabs>
          <w:tab w:val="right" w:pos="9026" w:leader="dot"/>
        </w:tabs>
        <w:spacing w:after="140"/>
      </w:pPr>
      <w:r>
        <w:rPr>
          <w:sz w:val="22"/>
          <w:szCs w:val="22"/>
        </w:rPr>
        <w:t xml:space="preserve">8.  Methodology and Pipeline</w:t>
      </w:r>
      <w:r>
        <w:rPr>
          <w:sz w:val="22"/>
          <w:szCs w:val="22"/>
        </w:rPr>
        <w:t xml:space="preserve">	8</w:t>
      </w:r>
    </w:p>
    <w:p>
      <w:pPr>
        <w:tabs>
          <w:tab w:val="right" w:pos="9026" w:leader="dot"/>
        </w:tabs>
        <w:spacing w:after="140"/>
      </w:pPr>
      <w:r>
        <w:rPr>
          <w:sz w:val="22"/>
          <w:szCs w:val="22"/>
        </w:rPr>
        <w:t xml:space="preserve">9.  Experimental Design and Evaluation</w:t>
      </w:r>
      <w:r>
        <w:rPr>
          <w:sz w:val="22"/>
          <w:szCs w:val="22"/>
        </w:rPr>
        <w:t xml:space="preserve">	9</w:t>
      </w:r>
    </w:p>
    <w:p>
      <w:pPr>
        <w:tabs>
          <w:tab w:val="right" w:pos="9026" w:leader="dot"/>
        </w:tabs>
        <w:spacing w:after="140"/>
      </w:pPr>
      <w:r>
        <w:rPr>
          <w:sz w:val="22"/>
          <w:szCs w:val="22"/>
        </w:rPr>
        <w:t xml:space="preserve">10.  Baselines and Metrics</w:t>
      </w:r>
      <w:r>
        <w:rPr>
          <w:sz w:val="22"/>
          <w:szCs w:val="22"/>
        </w:rPr>
        <w:t xml:space="preserve">	9</w:t>
      </w:r>
    </w:p>
    <w:p>
      <w:pPr>
        <w:tabs>
          <w:tab w:val="right" w:pos="9026" w:leader="dot"/>
        </w:tabs>
        <w:spacing w:after="140"/>
      </w:pPr>
      <w:r>
        <w:rPr>
          <w:sz w:val="22"/>
          <w:szCs w:val="22"/>
        </w:rPr>
        <w:t xml:space="preserve">11.  Project Timeline</w:t>
      </w:r>
      <w:r>
        <w:rPr>
          <w:sz w:val="22"/>
          <w:szCs w:val="22"/>
        </w:rPr>
        <w:t xml:space="preserve">	10</w:t>
      </w:r>
    </w:p>
    <w:p>
      <w:pPr>
        <w:tabs>
          <w:tab w:val="right" w:pos="9026" w:leader="dot"/>
        </w:tabs>
        <w:spacing w:after="140"/>
      </w:pPr>
      <w:r>
        <w:rPr>
          <w:sz w:val="22"/>
          <w:szCs w:val="22"/>
        </w:rPr>
        <w:t xml:space="preserve">12.  Risks and Honest Scope</w:t>
      </w:r>
      <w:r>
        <w:rPr>
          <w:sz w:val="22"/>
          <w:szCs w:val="22"/>
        </w:rPr>
        <w:t xml:space="preserve">	10</w:t>
      </w:r>
    </w:p>
    <w:p>
      <w:pPr>
        <w:tabs>
          <w:tab w:val="right" w:pos="9026" w:leader="dot"/>
        </w:tabs>
        <w:spacing w:after="140"/>
      </w:pPr>
      <w:r>
        <w:rPr>
          <w:sz w:val="22"/>
          <w:szCs w:val="22"/>
        </w:rPr>
        <w:t xml:space="preserve">13.  Expected Outcomes: MVP vs. Advanced Version</w:t>
      </w:r>
      <w:r>
        <w:rPr>
          <w:sz w:val="22"/>
          <w:szCs w:val="22"/>
        </w:rPr>
        <w:t xml:space="preserve">	10</w:t>
      </w:r>
    </w:p>
    <w:p>
      <w:pPr>
        <w:tabs>
          <w:tab w:val="right" w:pos="9026" w:leader="dot"/>
        </w:tabs>
        <w:spacing w:after="140"/>
      </w:pPr>
      <w:r>
        <w:rPr>
          <w:sz w:val="22"/>
          <w:szCs w:val="22"/>
        </w:rPr>
        <w:t xml:space="preserve">14.  Glossary</w:t>
      </w:r>
      <w:r>
        <w:rPr>
          <w:sz w:val="22"/>
          <w:szCs w:val="22"/>
        </w:rPr>
        <w:t xml:space="preserve">	12</w:t>
      </w:r>
    </w:p>
    <w:p>
      <w:pPr>
        <w:tabs>
          <w:tab w:val="right" w:pos="9026" w:leader="dot"/>
        </w:tabs>
        <w:spacing w:after="140"/>
      </w:pPr>
      <w:r>
        <w:rPr>
          <w:sz w:val="22"/>
          <w:szCs w:val="22"/>
        </w:rPr>
        <w:t xml:space="preserve">15.  References</w:t>
      </w:r>
      <w:r>
        <w:rPr>
          <w:sz w:val="22"/>
          <w:szCs w:val="22"/>
        </w:rPr>
        <w:t xml:space="preserve">	12</w:t>
      </w:r>
    </w:p>
    <w:p>
      <w:r>
        <w:br w:type="page"/>
      </w:r>
    </w:p>
    <w:p>
      <w:pPr>
        <w:sectPr>
          <w:pgSz w:w="11906" w:h="16838" w:orient="portrait"/>
          <w:pgMar w:top="1440" w:right="1440" w:bottom="1440" w:left="1440" w:header="708" w:footer="708" w:gutter="0"/>
          <w:pgNumType/>
          <w:docGrid w:linePitch="360"/>
        </w:sectPr>
      </w:pPr>
    </w:p>
    <w:p>
      <w:pPr>
        <w:pStyle w:val="Heading1"/>
        <w:spacing w:after="160" w:before="320"/>
      </w:pPr>
      <w:r>
        <w:t xml:space="preserve">1. Executive Summary</w:t>
      </w:r>
    </w:p>
    <w:p>
      <w:pPr>
        <w:spacing w:after="180" w:line="300"/>
      </w:pPr>
      <w:r>
        <w:rPr>
          <w:sz w:val="22"/>
          <w:szCs w:val="22"/>
        </w:rPr>
        <w:t xml:space="preserve">The Darukaa.Earth challenge asks for an AI system that behaves like an environmental scientist rather than a chatbot: it must retrieve real ecological knowledge, hold a multi-turn conversation, and produce recommendations that connect multiple environmental variables together, each one backed by a scientific source. Most teams entering this challenge will build a retrieval-augmented generation (RAG) pipeline that answers questions accurately about individual facts. Very few will address the much harder requirement buried in the rubric: reasoning correctly about how several variables interact at once.</w:t>
      </w:r>
    </w:p>
    <w:p>
      <w:pPr>
        <w:spacing w:after="180" w:line="300"/>
      </w:pPr>
      <w:r>
        <w:rPr>
          <w:sz w:val="22"/>
          <w:szCs w:val="22"/>
        </w:rPr>
        <w:t xml:space="preserve">ROOTCAUSE is built around that harder requirement. It is a working biodiversity advisory agent, exactly as the challenge specifies, with one additional component that most competing submissions will not have: a Causal Consistency Checker that verifies whether the multi-variable claims the agent generates are actually supported by the ecological literature, rather than merely fluent and referenced.</w:t>
      </w:r>
    </w:p>
    <w:p>
      <w:pPr>
        <w:spacing w:after="180" w:line="300"/>
      </w:pPr>
      <w:r>
        <w:rPr>
          <w:sz w:val="22"/>
          <w:szCs w:val="22"/>
        </w:rPr>
        <w:t xml:space="preserve">This matters because current research shows that language models are unreliable at exactly this kind of reasoning. They can recall that two variables are related, but they frequently get the direction, the mechanism, or the conditions wrong when asked to combine several of them into one recommendation. ROOTCAUSE treats this as a problem to be caught and corrected, not ignored, which is what turns the hackathon submission into a genuine, defensible research contribution rather than a demo.</w:t>
      </w:r>
    </w:p>
    <w:tbl>
      <w:tblPr>
        <w:tblW w:type="dxa" w:w="9360"/>
        <w:tblBorders>
          <w:top w:val="single" w:color="2CA6A4" w:sz="8"/>
          <w:left w:val="single" w:color="2CA6A4" w:sz="8"/>
          <w:bottom w:val="single" w:color="2CA6A4" w:sz="8"/>
          <w:right w:val="single" w:color="2CA6A4" w:sz="8"/>
          <w:insideH w:val="single" w:color="auto" w:sz="4"/>
          <w:insideV w:val="single" w:color="auto" w:sz="4"/>
        </w:tblBorders>
      </w:tblPr>
      <w:tblGrid>
        <w:gridCol w:w="9360"/>
      </w:tblGrid>
      <w:tr>
        <w:tc>
          <w:tcPr>
            <w:tcW w:type="dxa" w:w="9360"/>
            <w:shd w:fill="E3F5F4" w:color="auto" w:val="clear"/>
            <w:tcMar>
              <w:top w:type="dxa" w:w="160"/>
              <w:left w:type="dxa" w:w="220"/>
              <w:bottom w:type="dxa" w:w="160"/>
              <w:right w:type="dxa" w:w="220"/>
            </w:tcMar>
          </w:tcPr>
          <w:p>
            <w:pPr>
              <w:spacing w:after="80"/>
            </w:pPr>
            <w:r>
              <w:rPr>
                <w:b/>
                <w:bCs/>
                <w:color w:val="1B6E6C"/>
                <w:sz w:val="21"/>
                <w:szCs w:val="21"/>
              </w:rPr>
              <w:t xml:space="preserve">In one sentence</w:t>
            </w:r>
          </w:p>
          <w:p>
            <w:pPr>
              <w:spacing w:after="0"/>
            </w:pPr>
            <w:r>
              <w:rPr>
                <w:color w:val="1A1A1A"/>
                <w:sz w:val="21"/>
                <w:szCs w:val="21"/>
              </w:rPr>
              <w:t xml:space="preserve">ROOTCAUSE is a biodiversity advisory chatbot that checks its own multi-variable reasoning against a small, source-backed causal map before it lets a recommendation reach the user.</w:t>
            </w:r>
          </w:p>
        </w:tc>
      </w:tr>
    </w:tbl>
    <w:p>
      <w:pPr>
        <w:pStyle w:val="Heading1"/>
        <w:spacing w:after="160" w:before="320"/>
      </w:pPr>
      <w:r>
        <w:t xml:space="preserve">2. Background: The Darukaa.Earth Challenge</w:t>
      </w:r>
    </w:p>
    <w:p>
      <w:pPr>
        <w:spacing w:after="180" w:line="300"/>
      </w:pPr>
      <w:r>
        <w:rPr>
          <w:sz w:val="22"/>
          <w:szCs w:val="22"/>
        </w:rPr>
        <w:t xml:space="preserve">Darukaa.Earth has set a challenge to build a conversational AI system for biodiversity and environmental reasoning. The system must maintain a structured knowledge base covering five domains: soil health, land use and land cover, biodiversity indicators, climate factors, and human impact. It must hold a multi-turn conversation, asking clarifying questions when a user gives incomplete information, and it must produce recommendations that are evidence-backed, connect multiple variables together, and state which metric improves, over what time horizon, and why.</w:t>
      </w:r>
    </w:p>
    <w:p>
      <w:pPr>
        <w:spacing w:after="180" w:line="300"/>
      </w:pPr>
      <w:r>
        <w:rPr>
          <w:sz w:val="22"/>
          <w:szCs w:val="22"/>
        </w:rPr>
        <w:t xml:space="preserve">The evaluation weights make the priorities explicit. Depth of reasoning and scientific grounding together account for 55 percent of the score. Knowledge system design accounts for 20 percent. Conversational intelligence accounts for 15 percent. Output clarity, the part most visible in a demo, accounts for only 10 percent. The rubric is, in effect, asking teams not to build a good-looking chatbot but to build a defensible reasoning system, and scoring it accordingly.</w:t>
      </w:r>
    </w:p>
    <w:p>
      <w:pPr>
        <w:pStyle w:val="Heading3"/>
        <w:spacing w:after="160" w:before="320"/>
      </w:pPr>
      <w:r>
        <w:t xml:space="preserve">2.1 Required capabilities at a glance</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200"/>
        <w:gridCol w:w="6160"/>
      </w:tblGrid>
      <w:tr>
        <w:trPr>
          <w:tblHeader/>
        </w:trPr>
        <w:tc>
          <w:tcPr>
            <w:tcW w:type="dxa" w:w="3200"/>
            <w:shd w:fill="1B6E6C" w:color="auto" w:val="clear"/>
            <w:tcMar>
              <w:top w:type="dxa" w:w="100"/>
              <w:left w:type="dxa" w:w="120"/>
              <w:bottom w:type="dxa" w:w="100"/>
              <w:right w:type="dxa" w:w="120"/>
            </w:tcMar>
            <w:vAlign w:val="center"/>
          </w:tcPr>
          <w:p>
            <w:r>
              <w:rPr>
                <w:b/>
                <w:bCs/>
                <w:color w:val="FFFFFF"/>
                <w:sz w:val="19"/>
                <w:szCs w:val="19"/>
              </w:rPr>
              <w:t xml:space="preserve">Requirement</w:t>
            </w:r>
          </w:p>
        </w:tc>
        <w:tc>
          <w:tcPr>
            <w:tcW w:type="dxa" w:w="6160"/>
            <w:shd w:fill="1B6E6C" w:color="auto" w:val="clear"/>
            <w:tcMar>
              <w:top w:type="dxa" w:w="100"/>
              <w:left w:type="dxa" w:w="120"/>
              <w:bottom w:type="dxa" w:w="100"/>
              <w:right w:type="dxa" w:w="120"/>
            </w:tcMar>
            <w:vAlign w:val="center"/>
          </w:tcPr>
          <w:p>
            <w:r>
              <w:rPr>
                <w:b/>
                <w:bCs/>
                <w:color w:val="FFFFFF"/>
                <w:sz w:val="19"/>
                <w:szCs w:val="19"/>
              </w:rPr>
              <w:t xml:space="preserve">What it demands</w:t>
            </w:r>
          </w:p>
        </w:tc>
      </w:tr>
      <w:tr>
        <w:tc>
          <w:tcPr>
            <w:tcW w:type="dxa" w:w="3200"/>
            <w:shd w:fill="FFFFFF" w:color="auto" w:val="clear"/>
            <w:tcMar>
              <w:top w:type="dxa" w:w="90"/>
              <w:left w:type="dxa" w:w="120"/>
              <w:bottom w:type="dxa" w:w="90"/>
              <w:right w:type="dxa" w:w="120"/>
            </w:tcMar>
            <w:vAlign w:val="center"/>
          </w:tcPr>
          <w:p>
            <w:r>
              <w:rPr>
                <w:sz w:val="19"/>
                <w:szCs w:val="19"/>
              </w:rPr>
              <w:t xml:space="preserve">Knowledge system</w:t>
            </w:r>
          </w:p>
        </w:tc>
        <w:tc>
          <w:tcPr>
            <w:tcW w:type="dxa" w:w="6160"/>
            <w:shd w:fill="FFFFFF" w:color="auto" w:val="clear"/>
            <w:tcMar>
              <w:top w:type="dxa" w:w="90"/>
              <w:left w:type="dxa" w:w="120"/>
              <w:bottom w:type="dxa" w:w="90"/>
              <w:right w:type="dxa" w:w="120"/>
            </w:tcMar>
            <w:vAlign w:val="center"/>
          </w:tcPr>
          <w:p>
            <w:r>
              <w:rPr>
                <w:sz w:val="19"/>
                <w:szCs w:val="19"/>
              </w:rPr>
              <w:t xml:space="preserve">Retrievable layer over soil, land use, biodiversity, climate, human impact data, not just prompting</w:t>
            </w:r>
          </w:p>
        </w:tc>
      </w:tr>
      <w:tr>
        <w:tc>
          <w:tcPr>
            <w:tcW w:type="dxa" w:w="3200"/>
            <w:shd w:fill="F4FBFB" w:color="auto" w:val="clear"/>
            <w:tcMar>
              <w:top w:type="dxa" w:w="90"/>
              <w:left w:type="dxa" w:w="120"/>
              <w:bottom w:type="dxa" w:w="90"/>
              <w:right w:type="dxa" w:w="120"/>
            </w:tcMar>
            <w:vAlign w:val="center"/>
          </w:tcPr>
          <w:p>
            <w:r>
              <w:rPr>
                <w:sz w:val="19"/>
                <w:szCs w:val="19"/>
              </w:rPr>
              <w:t xml:space="preserve">Conversational intelligence</w:t>
            </w:r>
          </w:p>
        </w:tc>
        <w:tc>
          <w:tcPr>
            <w:tcW w:type="dxa" w:w="6160"/>
            <w:shd w:fill="F4FBFB" w:color="auto" w:val="clear"/>
            <w:tcMar>
              <w:top w:type="dxa" w:w="90"/>
              <w:left w:type="dxa" w:w="120"/>
              <w:bottom w:type="dxa" w:w="90"/>
              <w:right w:type="dxa" w:w="120"/>
            </w:tcMar>
            <w:vAlign w:val="center"/>
          </w:tcPr>
          <w:p>
            <w:r>
              <w:rPr>
                <w:sz w:val="19"/>
                <w:szCs w:val="19"/>
              </w:rPr>
              <w:t xml:space="preserve">Multi-turn memory, clarifying questions on incomplete input</w:t>
            </w:r>
          </w:p>
        </w:tc>
      </w:tr>
      <w:tr>
        <w:tc>
          <w:tcPr>
            <w:tcW w:type="dxa" w:w="3200"/>
            <w:shd w:fill="FFFFFF" w:color="auto" w:val="clear"/>
            <w:tcMar>
              <w:top w:type="dxa" w:w="90"/>
              <w:left w:type="dxa" w:w="120"/>
              <w:bottom w:type="dxa" w:w="90"/>
              <w:right w:type="dxa" w:w="120"/>
            </w:tcMar>
            <w:vAlign w:val="center"/>
          </w:tcPr>
          <w:p>
            <w:r>
              <w:rPr>
                <w:sz w:val="19"/>
                <w:szCs w:val="19"/>
              </w:rPr>
              <w:t xml:space="preserve">Evidence-backed recommendations</w:t>
            </w:r>
          </w:p>
        </w:tc>
        <w:tc>
          <w:tcPr>
            <w:tcW w:type="dxa" w:w="6160"/>
            <w:shd w:fill="FFFFFF" w:color="auto" w:val="clear"/>
            <w:tcMar>
              <w:top w:type="dxa" w:w="90"/>
              <w:left w:type="dxa" w:w="120"/>
              <w:bottom w:type="dxa" w:w="90"/>
              <w:right w:type="dxa" w:w="120"/>
            </w:tcMar>
            <w:vAlign w:val="center"/>
          </w:tcPr>
          <w:p>
            <w:r>
              <w:rPr>
                <w:sz w:val="19"/>
                <w:szCs w:val="19"/>
              </w:rPr>
              <w:t xml:space="preserve">Action, mechanism, metric affected, and a cited source for every recommendation</w:t>
            </w:r>
          </w:p>
        </w:tc>
      </w:tr>
      <w:tr>
        <w:tc>
          <w:tcPr>
            <w:tcW w:type="dxa" w:w="3200"/>
            <w:shd w:fill="F4FBFB" w:color="auto" w:val="clear"/>
            <w:tcMar>
              <w:top w:type="dxa" w:w="90"/>
              <w:left w:type="dxa" w:w="120"/>
              <w:bottom w:type="dxa" w:w="90"/>
              <w:right w:type="dxa" w:w="120"/>
            </w:tcMar>
            <w:vAlign w:val="center"/>
          </w:tcPr>
          <w:p>
            <w:r>
              <w:rPr>
                <w:sz w:val="19"/>
                <w:szCs w:val="19"/>
              </w:rPr>
              <w:t xml:space="preserve">Multi-metric reasoning</w:t>
            </w:r>
          </w:p>
        </w:tc>
        <w:tc>
          <w:tcPr>
            <w:tcW w:type="dxa" w:w="6160"/>
            <w:shd w:fill="F4FBFB" w:color="auto" w:val="clear"/>
            <w:tcMar>
              <w:top w:type="dxa" w:w="90"/>
              <w:left w:type="dxa" w:w="120"/>
              <w:bottom w:type="dxa" w:w="90"/>
              <w:right w:type="dxa" w:w="120"/>
            </w:tcMar>
            <w:vAlign w:val="center"/>
          </w:tcPr>
          <w:p>
            <w:r>
              <w:rPr>
                <w:sz w:val="19"/>
                <w:szCs w:val="19"/>
              </w:rPr>
              <w:t xml:space="preserve">At least three environmental variables reasoned about together, not one at a time</w:t>
            </w:r>
          </w:p>
        </w:tc>
      </w:tr>
      <w:tr>
        <w:tc>
          <w:tcPr>
            <w:tcW w:type="dxa" w:w="3200"/>
            <w:shd w:fill="FFFFFF" w:color="auto" w:val="clear"/>
            <w:tcMar>
              <w:top w:type="dxa" w:w="90"/>
              <w:left w:type="dxa" w:w="120"/>
              <w:bottom w:type="dxa" w:w="90"/>
              <w:right w:type="dxa" w:w="120"/>
            </w:tcMar>
            <w:vAlign w:val="center"/>
          </w:tcPr>
          <w:p>
            <w:r>
              <w:rPr>
                <w:sz w:val="19"/>
                <w:szCs w:val="19"/>
              </w:rPr>
              <w:t xml:space="preserve">Input handling</w:t>
            </w:r>
          </w:p>
        </w:tc>
        <w:tc>
          <w:tcPr>
            <w:tcW w:type="dxa" w:w="6160"/>
            <w:shd w:fill="FFFFFF" w:color="auto" w:val="clear"/>
            <w:tcMar>
              <w:top w:type="dxa" w:w="90"/>
              <w:left w:type="dxa" w:w="120"/>
              <w:bottom w:type="dxa" w:w="90"/>
              <w:right w:type="dxa" w:w="120"/>
            </w:tcMar>
            <w:vAlign w:val="center"/>
          </w:tcPr>
          <w:p>
            <w:r>
              <w:rPr>
                <w:sz w:val="19"/>
                <w:szCs w:val="19"/>
              </w:rPr>
              <w:t xml:space="preserve">Free text and structured JSON input, with geo-coordinates as a bonus</w:t>
            </w:r>
          </w:p>
        </w:tc>
      </w:tr>
      <w:tr>
        <w:tc>
          <w:tcPr>
            <w:tcW w:type="dxa" w:w="3200"/>
            <w:shd w:fill="F4FBFB" w:color="auto" w:val="clear"/>
            <w:tcMar>
              <w:top w:type="dxa" w:w="90"/>
              <w:left w:type="dxa" w:w="120"/>
              <w:bottom w:type="dxa" w:w="90"/>
              <w:right w:type="dxa" w:w="120"/>
            </w:tcMar>
            <w:vAlign w:val="center"/>
          </w:tcPr>
          <w:p>
            <w:r>
              <w:rPr>
                <w:sz w:val="19"/>
                <w:szCs w:val="19"/>
              </w:rPr>
              <w:t xml:space="preserve">Output structure</w:t>
            </w:r>
          </w:p>
        </w:tc>
        <w:tc>
          <w:tcPr>
            <w:tcW w:type="dxa" w:w="6160"/>
            <w:shd w:fill="F4FBFB" w:color="auto" w:val="clear"/>
            <w:tcMar>
              <w:top w:type="dxa" w:w="90"/>
              <w:left w:type="dxa" w:w="120"/>
              <w:bottom w:type="dxa" w:w="90"/>
              <w:right w:type="dxa" w:w="120"/>
            </w:tcMar>
            <w:vAlign w:val="center"/>
          </w:tcPr>
          <w:p>
            <w:r>
              <w:rPr>
                <w:sz w:val="19"/>
                <w:szCs w:val="19"/>
              </w:rPr>
              <w:t xml:space="preserve">Recommendation, impacted metrics, time horizon, and optionally a confidence level</w:t>
            </w:r>
          </w:p>
        </w:tc>
      </w:tr>
    </w:tbl>
    <w:p>
      <w:pPr>
        <w:spacing w:after="200"/>
      </w:pPr>
    </w:p>
    <w:p>
      <w:pPr>
        <w:pStyle w:val="Heading1"/>
        <w:spacing w:after="160" w:before="320"/>
      </w:pPr>
      <w:r>
        <w:t xml:space="preserve">3. Why This Matters</w:t>
      </w:r>
    </w:p>
    <w:p>
      <w:pPr>
        <w:spacing w:after="180" w:line="300"/>
      </w:pPr>
      <w:r>
        <w:rPr>
          <w:sz w:val="22"/>
          <w:szCs w:val="22"/>
        </w:rPr>
        <w:t xml:space="preserve">Imagine a farmer asks the system for help because biodiversity is declining on a semi-arid plot growing monoculture wheat with very low soil organic carbon. A shallow system will retrieve a fact such as "cover crops improve soil carbon" and repeat it. A better system will connect soil carbon to microbial diversity, connect microbial diversity to pollinator support, and connect the region's low rainfall to which specific intervention, such as agroforestry rather than a moisture-hungry cover crop, will actually work in that climate. That second answer is what the challenge is scoring for, and it requires the system to reason across variables rather than about one variable at a time.</w:t>
      </w:r>
    </w:p>
    <w:p>
      <w:pPr>
        <w:spacing w:after="180" w:line="300"/>
      </w:pPr>
      <w:r>
        <w:rPr>
          <w:sz w:val="22"/>
          <w:szCs w:val="22"/>
        </w:rPr>
        <w:t xml:space="preserve">This is also where language models are known to struggle. A model can retrieve that soil carbon affects microbial diversity, and separately that microbial diversity affects pollinators, and then still assemble those two true facts into a recommendation that gets the interaction wrong, for example by ignoring that the intervention only works above a certain rainfall threshold, or by claiming a stronger effect than the underlying study supports. The individual facts are grounded. The way they are combined is not checked by anything in a standard retrieval pipeline.</w:t>
      </w:r>
    </w:p>
    <w:p>
      <w:pPr>
        <w:spacing w:after="180" w:line="300"/>
      </w:pPr>
      <w:r>
        <w:rPr>
          <w:sz w:val="22"/>
          <w:szCs w:val="22"/>
        </w:rPr>
        <w:t xml:space="preserve">ROOTCAUSE closes that specific hole. It does not try to make the language model smarter at causal reasoning in general, which current research suggests is a very hard, unsolved problem. Instead, it builds a small, source-backed map of which environmental variables are known to affect which others, and uses that map as a referee: any recommendation the agent produces is checked against the map before being shown to the user, and claims that are unsupported, reversed, or missing a required condition are flagged or rewritten rather than passed through.</w:t>
      </w:r>
    </w:p>
    <w:p>
      <w:pPr>
        <w:pStyle w:val="Heading1"/>
        <w:spacing w:after="160" w:before="320"/>
      </w:pPr>
      <w:r>
        <w:t xml:space="preserve">4. The Research Gap</w:t>
      </w:r>
    </w:p>
    <w:p>
      <w:pPr>
        <w:spacing w:after="180" w:line="300"/>
      </w:pPr>
      <w:r>
        <w:rPr>
          <w:sz w:val="22"/>
          <w:szCs w:val="22"/>
        </w:rPr>
        <w:t xml:space="preserve">Three strands of recent research point at the same weak spot, and together they justify why this is worth building rather than assuming an off-the-shelf RAG pipeline already handles it.</w:t>
      </w:r>
    </w:p>
    <w:p>
      <w:pPr>
        <w:pStyle w:val="Heading3"/>
        <w:spacing w:after="160" w:before="320"/>
      </w:pPr>
      <w:r>
        <w:t xml:space="preserve">4.1 Language models are not reliable causal reasoners</w:t>
      </w:r>
    </w:p>
    <w:p>
      <w:pPr>
        <w:spacing w:after="180" w:line="300"/>
      </w:pPr>
      <w:r>
        <w:rPr>
          <w:sz w:val="22"/>
          <w:szCs w:val="22"/>
        </w:rPr>
        <w:t xml:space="preserve">Zecevic and colleagues (2023) describe large language models as "causal parrots": models that can recite causal-sounding statements because those statements appeared in training data, without performing any actual causal inference. Building on this concern, Wu and colleagues (2025) argue that language models should be restricted to a non-decisional support role in causal discovery and should not be trusted to independently determine the existence or direction of a causal relationship. This directly affects requirement four of the challenge, which asks the system to reason across variables such as soil health and biodiversity, or water availability and species survival, without any built-in check on whether that reasoning is valid.</w:t>
      </w:r>
    </w:p>
    <w:p>
      <w:pPr>
        <w:pStyle w:val="Heading3"/>
        <w:spacing w:after="160" w:before="320"/>
      </w:pPr>
      <w:r>
        <w:t xml:space="preserve">4.2 Existing environmental advisory systems ground facts, not combinations</w:t>
      </w:r>
    </w:p>
    <w:p>
      <w:pPr>
        <w:spacing w:after="180" w:line="300"/>
      </w:pPr>
      <w:r>
        <w:rPr>
          <w:sz w:val="22"/>
          <w:szCs w:val="22"/>
        </w:rPr>
        <w:t xml:space="preserve">Agri-SAGE (2026), the closest published system to this challenge, couples a multi-agent language model with the APSIM biophysical crop simulator specifically to stop advisories from being, in the authors' words, agronomically credible but physiologically unconvincing. This is a meaningful step, but it validates a single simulated outcome, crop yield, for a single crop system. It does not validate cross-domain causal claims spanning soil, biodiversity, climate, and land use together, and no equivalent biophysical simulator exists for general biodiversity outcomes that a student project could plausibly use. Other published agricultural advisory systems such as AgriGPT, ShizishanGPT, and AgriRegion improve factual grounding through retrieval, but none of them check the validity of a claimed interaction between two or more retrieved facts.</w:t>
      </w:r>
    </w:p>
    <w:p>
      <w:pPr>
        <w:pStyle w:val="Heading3"/>
        <w:spacing w:after="160" w:before="320"/>
      </w:pPr>
      <w:r>
        <w:t xml:space="preserve">4.3 Multi-step agent pipelines compound the risk</w:t>
      </w:r>
    </w:p>
    <w:p>
      <w:pPr>
        <w:spacing w:after="180" w:line="300"/>
      </w:pPr>
      <w:r>
        <w:rPr>
          <w:sz w:val="22"/>
          <w:szCs w:val="22"/>
        </w:rPr>
        <w:t xml:space="preserve">Recent evaluations of agentic pipelines report hallucination rates as high as 20 to 40 percent across multi-step tool-call chains, even when retrieval grounding is already in place, because grounding individual steps does not guarantee the chain connecting them is valid. This is the exact shape of system the challenge requires: a multi-tool agent that retrieves, correlates, and then recommends.</w:t>
      </w:r>
    </w:p>
    <w:tbl>
      <w:tblPr>
        <w:tblW w:type="dxa" w:w="9360"/>
        <w:tblBorders>
          <w:top w:val="single" w:color="2CA6A4" w:sz="8"/>
          <w:left w:val="single" w:color="2CA6A4" w:sz="8"/>
          <w:bottom w:val="single" w:color="2CA6A4" w:sz="8"/>
          <w:right w:val="single" w:color="2CA6A4" w:sz="8"/>
          <w:insideH w:val="single" w:color="auto" w:sz="4"/>
          <w:insideV w:val="single" w:color="auto" w:sz="4"/>
        </w:tblBorders>
      </w:tblPr>
      <w:tblGrid>
        <w:gridCol w:w="9360"/>
      </w:tblGrid>
      <w:tr>
        <w:tc>
          <w:tcPr>
            <w:tcW w:type="dxa" w:w="9360"/>
            <w:shd w:fill="E3F5F4" w:color="auto" w:val="clear"/>
            <w:tcMar>
              <w:top w:type="dxa" w:w="160"/>
              <w:left w:type="dxa" w:w="220"/>
              <w:bottom w:type="dxa" w:w="160"/>
              <w:right w:type="dxa" w:w="220"/>
            </w:tcMar>
          </w:tcPr>
          <w:p>
            <w:pPr>
              <w:spacing w:after="80"/>
            </w:pPr>
            <w:r>
              <w:rPr>
                <w:b/>
                <w:bCs/>
                <w:color w:val="1B6E6C"/>
                <w:sz w:val="21"/>
                <w:szCs w:val="21"/>
              </w:rPr>
              <w:t xml:space="preserve">The gap in one line</w:t>
            </w:r>
          </w:p>
          <w:p>
            <w:pPr>
              <w:spacing w:after="0"/>
            </w:pPr>
            <w:r>
              <w:rPr>
                <w:color w:val="1A1A1A"/>
                <w:sz w:val="21"/>
                <w:szCs w:val="21"/>
              </w:rPr>
              <w:t xml:space="preserve">Retrieval-augmented generation checks whether a fact exists in a source. Nothing in the current environmental-advisory literature checks whether a claimed relationship between two or more facts is itself supported by that source.</w:t>
            </w:r>
          </w:p>
        </w:tc>
      </w:tr>
    </w:tbl>
    <w:p>
      <w:pPr>
        <w:pStyle w:val="Heading1"/>
        <w:spacing w:after="160" w:before="320"/>
      </w:pPr>
      <w:r>
        <w:t xml:space="preserve">5. Proposed Contribution: The Causal Consistency Checker</w:t>
      </w:r>
    </w:p>
    <w:p>
      <w:pPr>
        <w:spacing w:after="180" w:line="300"/>
      </w:pPr>
      <w:r>
        <w:rPr>
          <w:sz w:val="22"/>
          <w:szCs w:val="22"/>
        </w:rPr>
        <w:t xml:space="preserve">The core addition ROOTCAUSE makes to a standard RAG-agent pipeline is a validation step that sits between the language model's draft recommendation and the final answer shown to the user. It works in three stages.</w:t>
      </w:r>
    </w:p>
    <w:p>
      <w:pPr>
        <w:pStyle w:val="Heading3"/>
        <w:spacing w:after="160" w:before="320"/>
      </w:pPr>
      <w:r>
        <w:t xml:space="preserve">5.1 Building the causal map</w:t>
      </w:r>
    </w:p>
    <w:p>
      <w:pPr>
        <w:spacing w:after="180" w:line="300"/>
      </w:pPr>
      <w:r>
        <w:rPr>
          <w:sz w:val="22"/>
          <w:szCs w:val="22"/>
        </w:rPr>
        <w:t xml:space="preserve">A small directed graph, roughly 30 to 60 nodes, is built by hand from the same sources the knowledge base already needs to index: FAO reports, IPCC reports, and peer-reviewed meta-analyses covering soil, land use, biodiversity, climate, and human impact. Each node is a variable, such as soil organic carbon or pollinator abundance. Each edge represents a documented directional relationship, for example soil organic carbon increases microbial diversity, and carries a citation back to the source study plus, where available, an effect size or confidence range.</w:t>
      </w:r>
    </w:p>
    <w:p>
      <w:pPr>
        <w:pStyle w:val="Heading3"/>
        <w:spacing w:after="160" w:before="320"/>
      </w:pPr>
      <w:r>
        <w:t xml:space="preserve">5.2 Extracting the claim</w:t>
      </w:r>
    </w:p>
    <w:p>
      <w:pPr>
        <w:spacing w:after="180" w:line="300"/>
      </w:pPr>
      <w:r>
        <w:rPr>
          <w:sz w:val="22"/>
          <w:szCs w:val="22"/>
        </w:rPr>
        <w:t xml:space="preserve">When the language model drafts a recommendation, a small structured-extraction step pulls out the implied causal chain in machine-readable form, for example: legume cover crops increase soil organic carbon, which increases microbial diversity, which supports pollinators. This turns a paragraph of prose into a short path over the same variables represented in the causal map.</w:t>
      </w:r>
    </w:p>
    <w:p>
      <w:pPr>
        <w:pStyle w:val="Heading3"/>
        <w:spacing w:after="160" w:before="320"/>
      </w:pPr>
      <w:r>
        <w:t xml:space="preserve">5.3 Checking the claim</w:t>
      </w:r>
    </w:p>
    <w:p>
      <w:pPr>
        <w:spacing w:after="180" w:line="300"/>
      </w:pPr>
      <w:r>
        <w:rPr>
          <w:sz w:val="22"/>
          <w:szCs w:val="22"/>
        </w:rPr>
        <w:t xml:space="preserve">The extracted path is checked against the causal map for three things: whether each edge exists at all, whether its direction matches what the sources support, and whether any condition attached to the edge, such as a minimum rainfall level, is satisfied by the details the user provided. A path that fails any of these checks is either rejected and regenerated, or downgraded and flagged to the user with a lower confidence level, rather than presented as equally certain as a fully supported recommendation.</w:t>
      </w:r>
    </w:p>
    <w:tbl>
      <w:tblPr>
        <w:tblW w:type="dxa" w:w="9360"/>
        <w:tblBorders>
          <w:top w:val="single" w:color="2CA6A4" w:sz="8"/>
          <w:left w:val="single" w:color="2CA6A4" w:sz="8"/>
          <w:bottom w:val="single" w:color="2CA6A4" w:sz="8"/>
          <w:right w:val="single" w:color="2CA6A4" w:sz="8"/>
          <w:insideH w:val="single" w:color="auto" w:sz="4"/>
          <w:insideV w:val="single" w:color="auto" w:sz="4"/>
        </w:tblBorders>
      </w:tblPr>
      <w:tblGrid>
        <w:gridCol w:w="9360"/>
      </w:tblGrid>
      <w:tr>
        <w:tc>
          <w:tcPr>
            <w:tcW w:type="dxa" w:w="9360"/>
            <w:shd w:fill="E3F5F4" w:color="auto" w:val="clear"/>
            <w:tcMar>
              <w:top w:type="dxa" w:w="160"/>
              <w:left w:type="dxa" w:w="220"/>
              <w:bottom w:type="dxa" w:w="160"/>
              <w:right w:type="dxa" w:w="220"/>
            </w:tcMar>
          </w:tcPr>
          <w:p>
            <w:pPr>
              <w:spacing w:after="80"/>
            </w:pPr>
            <w:r>
              <w:rPr>
                <w:b/>
                <w:bCs/>
                <w:color w:val="1B6E6C"/>
                <w:sz w:val="21"/>
                <w:szCs w:val="21"/>
              </w:rPr>
              <w:t xml:space="preserve">Honest scope note</w:t>
            </w:r>
          </w:p>
          <w:p>
            <w:pPr>
              <w:spacing w:after="0"/>
            </w:pPr>
            <w:r>
              <w:rPr>
                <w:color w:val="1A1A1A"/>
                <w:sz w:val="21"/>
                <w:szCs w:val="21"/>
              </w:rPr>
              <w:t xml:space="preserve">The causal map in this project is expert-curated from cited literature, not statistically discovered from raw data. This is a validation layer for claims a language model generates, not a causal-discovery method. That is a narrower, more defensible claim, and it is the one this blueprint makes throughout.</w:t>
            </w:r>
          </w:p>
        </w:tc>
      </w:tr>
    </w:tbl>
    <w:p>
      <w:r>
        <w:br w:type="page"/>
      </w:r>
    </w:p>
    <w:p>
      <w:pPr>
        <w:pStyle w:val="Heading1"/>
        <w:spacing w:after="160" w:before="320"/>
      </w:pPr>
      <w:r>
        <w:t xml:space="preserve">6. System Architecture</w:t>
      </w:r>
    </w:p>
    <w:p>
      <w:pPr>
        <w:spacing w:after="180" w:line="300"/>
      </w:pPr>
      <w:r>
        <w:rPr>
          <w:sz w:val="22"/>
          <w:szCs w:val="22"/>
        </w:rPr>
        <w:t xml:space="preserve">The system is a single ReAct-style conversational agent, in the same architectural family as the author's existing BharatHealth Analyst project, extended with a validation node that the standard RAG-agent pattern does not have.</w:t>
      </w:r>
    </w:p>
    <w:p>
      <w:pPr>
        <w:pStyle w:val="Heading3"/>
        <w:spacing w:after="160" w:before="320"/>
      </w:pPr>
      <w:r>
        <w:t xml:space="preserve">6.1 Pipeline stages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6360"/>
      </w:tblGrid>
      <w:tr>
        <w:trPr>
          <w:tblHeader/>
        </w:trPr>
        <w:tc>
          <w:tcPr>
            <w:tcW w:type="dxa" w:w="3000"/>
            <w:shd w:fill="1B6E6C" w:color="auto" w:val="clear"/>
            <w:tcMar>
              <w:top w:type="dxa" w:w="100"/>
              <w:left w:type="dxa" w:w="120"/>
              <w:bottom w:type="dxa" w:w="100"/>
              <w:right w:type="dxa" w:w="120"/>
            </w:tcMar>
            <w:vAlign w:val="center"/>
          </w:tcPr>
          <w:p>
            <w:r>
              <w:rPr>
                <w:b/>
                <w:bCs/>
                <w:color w:val="FFFFFF"/>
                <w:sz w:val="19"/>
                <w:szCs w:val="19"/>
              </w:rPr>
              <w:t xml:space="preserve">Stage</w:t>
            </w:r>
          </w:p>
        </w:tc>
        <w:tc>
          <w:tcPr>
            <w:tcW w:type="dxa" w:w="6360"/>
            <w:shd w:fill="1B6E6C" w:color="auto" w:val="clear"/>
            <w:tcMar>
              <w:top w:type="dxa" w:w="100"/>
              <w:left w:type="dxa" w:w="120"/>
              <w:bottom w:type="dxa" w:w="100"/>
              <w:right w:type="dxa" w:w="120"/>
            </w:tcMar>
            <w:vAlign w:val="center"/>
          </w:tcPr>
          <w:p>
            <w:r>
              <w:rPr>
                <w:b/>
                <w:bCs/>
                <w:color w:val="FFFFFF"/>
                <w:sz w:val="19"/>
                <w:szCs w:val="19"/>
              </w:rPr>
              <w:t xml:space="preserve">Function</w:t>
            </w:r>
          </w:p>
        </w:tc>
      </w:tr>
      <w:tr>
        <w:tc>
          <w:tcPr>
            <w:tcW w:type="dxa" w:w="3000"/>
            <w:shd w:fill="FFFFFF" w:color="auto" w:val="clear"/>
            <w:tcMar>
              <w:top w:type="dxa" w:w="90"/>
              <w:left w:type="dxa" w:w="120"/>
              <w:bottom w:type="dxa" w:w="90"/>
              <w:right w:type="dxa" w:w="120"/>
            </w:tcMar>
            <w:vAlign w:val="center"/>
          </w:tcPr>
          <w:p>
            <w:r>
              <w:rPr>
                <w:sz w:val="19"/>
                <w:szCs w:val="19"/>
              </w:rPr>
              <w:t xml:space="preserve">Input handler</w:t>
            </w:r>
          </w:p>
        </w:tc>
        <w:tc>
          <w:tcPr>
            <w:tcW w:type="dxa" w:w="6360"/>
            <w:shd w:fill="FFFFFF" w:color="auto" w:val="clear"/>
            <w:tcMar>
              <w:top w:type="dxa" w:w="90"/>
              <w:left w:type="dxa" w:w="120"/>
              <w:bottom w:type="dxa" w:w="90"/>
              <w:right w:type="dxa" w:w="120"/>
            </w:tcMar>
            <w:vAlign w:val="center"/>
          </w:tcPr>
          <w:p>
            <w:r>
              <w:rPr>
                <w:sz w:val="19"/>
                <w:szCs w:val="19"/>
              </w:rPr>
              <w:t xml:space="preserve">Accepts free text or structured JSON, extracts stated environmental variables, geo-coordinates where given</w:t>
            </w:r>
          </w:p>
        </w:tc>
      </w:tr>
      <w:tr>
        <w:tc>
          <w:tcPr>
            <w:tcW w:type="dxa" w:w="3000"/>
            <w:shd w:fill="F4FBFB" w:color="auto" w:val="clear"/>
            <w:tcMar>
              <w:top w:type="dxa" w:w="90"/>
              <w:left w:type="dxa" w:w="120"/>
              <w:bottom w:type="dxa" w:w="90"/>
              <w:right w:type="dxa" w:w="120"/>
            </w:tcMar>
            <w:vAlign w:val="center"/>
          </w:tcPr>
          <w:p>
            <w:r>
              <w:rPr>
                <w:sz w:val="19"/>
                <w:szCs w:val="19"/>
              </w:rPr>
              <w:t xml:space="preserve">Clarification node</w:t>
            </w:r>
          </w:p>
        </w:tc>
        <w:tc>
          <w:tcPr>
            <w:tcW w:type="dxa" w:w="6360"/>
            <w:shd w:fill="F4FBFB" w:color="auto" w:val="clear"/>
            <w:tcMar>
              <w:top w:type="dxa" w:w="90"/>
              <w:left w:type="dxa" w:w="120"/>
              <w:bottom w:type="dxa" w:w="90"/>
              <w:right w:type="dxa" w:w="120"/>
            </w:tcMar>
            <w:vAlign w:val="center"/>
          </w:tcPr>
          <w:p>
            <w:r>
              <w:rPr>
                <w:sz w:val="19"/>
                <w:szCs w:val="19"/>
              </w:rPr>
              <w:t xml:space="preserve">Detects missing required variables (soil, rainfall, land use at minimum) and asks a targeted follow-up before proceeding</w:t>
            </w:r>
          </w:p>
        </w:tc>
      </w:tr>
      <w:tr>
        <w:tc>
          <w:tcPr>
            <w:tcW w:type="dxa" w:w="3000"/>
            <w:shd w:fill="FFFFFF" w:color="auto" w:val="clear"/>
            <w:tcMar>
              <w:top w:type="dxa" w:w="90"/>
              <w:left w:type="dxa" w:w="120"/>
              <w:bottom w:type="dxa" w:w="90"/>
              <w:right w:type="dxa" w:w="120"/>
            </w:tcMar>
            <w:vAlign w:val="center"/>
          </w:tcPr>
          <w:p>
            <w:r>
              <w:rPr>
                <w:sz w:val="19"/>
                <w:szCs w:val="19"/>
              </w:rPr>
              <w:t xml:space="preserve">Retrieval tool (RAG)</w:t>
            </w:r>
          </w:p>
        </w:tc>
        <w:tc>
          <w:tcPr>
            <w:tcW w:type="dxa" w:w="6360"/>
            <w:shd w:fill="FFFFFF" w:color="auto" w:val="clear"/>
            <w:tcMar>
              <w:top w:type="dxa" w:w="90"/>
              <w:left w:type="dxa" w:w="120"/>
              <w:bottom w:type="dxa" w:w="90"/>
              <w:right w:type="dxa" w:w="120"/>
            </w:tcMar>
            <w:vAlign w:val="center"/>
          </w:tcPr>
          <w:p>
            <w:r>
              <w:rPr>
                <w:sz w:val="19"/>
                <w:szCs w:val="19"/>
              </w:rPr>
              <w:t xml:space="preserve">Semantic search over the indexed knowledge base of soil, land use, biodiversity, climate, and human-impact sources</w:t>
            </w:r>
          </w:p>
        </w:tc>
      </w:tr>
      <w:tr>
        <w:tc>
          <w:tcPr>
            <w:tcW w:type="dxa" w:w="3000"/>
            <w:shd w:fill="F4FBFB" w:color="auto" w:val="clear"/>
            <w:tcMar>
              <w:top w:type="dxa" w:w="90"/>
              <w:left w:type="dxa" w:w="120"/>
              <w:bottom w:type="dxa" w:w="90"/>
              <w:right w:type="dxa" w:w="120"/>
            </w:tcMar>
            <w:vAlign w:val="center"/>
          </w:tcPr>
          <w:p>
            <w:r>
              <w:rPr>
                <w:sz w:val="19"/>
                <w:szCs w:val="19"/>
              </w:rPr>
              <w:t xml:space="preserve">Correlation tool</w:t>
            </w:r>
          </w:p>
        </w:tc>
        <w:tc>
          <w:tcPr>
            <w:tcW w:type="dxa" w:w="6360"/>
            <w:shd w:fill="F4FBFB" w:color="auto" w:val="clear"/>
            <w:tcMar>
              <w:top w:type="dxa" w:w="90"/>
              <w:left w:type="dxa" w:w="120"/>
              <w:bottom w:type="dxa" w:w="90"/>
              <w:right w:type="dxa" w:w="120"/>
            </w:tcMar>
            <w:vAlign w:val="center"/>
          </w:tcPr>
          <w:p>
            <w:r>
              <w:rPr>
                <w:sz w:val="19"/>
                <w:szCs w:val="19"/>
              </w:rPr>
              <w:t xml:space="preserve">Statistical or literature-based check of how the user's specific input values relate to known ranges</w:t>
            </w:r>
          </w:p>
        </w:tc>
      </w:tr>
      <w:tr>
        <w:tc>
          <w:tcPr>
            <w:tcW w:type="dxa" w:w="3000"/>
            <w:shd w:fill="FFFFFF" w:color="auto" w:val="clear"/>
            <w:tcMar>
              <w:top w:type="dxa" w:w="90"/>
              <w:left w:type="dxa" w:w="120"/>
              <w:bottom w:type="dxa" w:w="90"/>
              <w:right w:type="dxa" w:w="120"/>
            </w:tcMar>
            <w:vAlign w:val="center"/>
          </w:tcPr>
          <w:p>
            <w:r>
              <w:rPr>
                <w:sz w:val="19"/>
                <w:szCs w:val="19"/>
              </w:rPr>
              <w:t xml:space="preserve">Recommendation generator</w:t>
            </w:r>
          </w:p>
        </w:tc>
        <w:tc>
          <w:tcPr>
            <w:tcW w:type="dxa" w:w="6360"/>
            <w:shd w:fill="FFFFFF" w:color="auto" w:val="clear"/>
            <w:tcMar>
              <w:top w:type="dxa" w:w="90"/>
              <w:left w:type="dxa" w:w="120"/>
              <w:bottom w:type="dxa" w:w="90"/>
              <w:right w:type="dxa" w:w="120"/>
            </w:tcMar>
            <w:vAlign w:val="center"/>
          </w:tcPr>
          <w:p>
            <w:r>
              <w:rPr>
                <w:sz w:val="19"/>
                <w:szCs w:val="19"/>
              </w:rPr>
              <w:t xml:space="preserve">Language model drafts the action, mechanism, affected metric, and time horizon</w:t>
            </w:r>
          </w:p>
        </w:tc>
      </w:tr>
      <w:tr>
        <w:tc>
          <w:tcPr>
            <w:tcW w:type="dxa" w:w="3000"/>
            <w:shd w:fill="F4FBFB" w:color="auto" w:val="clear"/>
            <w:tcMar>
              <w:top w:type="dxa" w:w="90"/>
              <w:left w:type="dxa" w:w="120"/>
              <w:bottom w:type="dxa" w:w="90"/>
              <w:right w:type="dxa" w:w="120"/>
            </w:tcMar>
            <w:vAlign w:val="center"/>
          </w:tcPr>
          <w:p>
            <w:r>
              <w:rPr>
                <w:sz w:val="19"/>
                <w:szCs w:val="19"/>
              </w:rPr>
              <w:t xml:space="preserve">Causal Consistency Checker</w:t>
            </w:r>
          </w:p>
        </w:tc>
        <w:tc>
          <w:tcPr>
            <w:tcW w:type="dxa" w:w="6360"/>
            <w:shd w:fill="F4FBFB" w:color="auto" w:val="clear"/>
            <w:tcMar>
              <w:top w:type="dxa" w:w="90"/>
              <w:left w:type="dxa" w:w="120"/>
              <w:bottom w:type="dxa" w:w="90"/>
              <w:right w:type="dxa" w:w="120"/>
            </w:tcMar>
            <w:vAlign w:val="center"/>
          </w:tcPr>
          <w:p>
            <w:r>
              <w:rPr>
                <w:sz w:val="19"/>
                <w:szCs w:val="19"/>
              </w:rPr>
              <w:t xml:space="preserve">Extracts the claimed variable chain and validates it against the causal map; accepts, downgrades, or rejects</w:t>
            </w:r>
          </w:p>
        </w:tc>
      </w:tr>
      <w:tr>
        <w:tc>
          <w:tcPr>
            <w:tcW w:type="dxa" w:w="3000"/>
            <w:shd w:fill="FFFFFF" w:color="auto" w:val="clear"/>
            <w:tcMar>
              <w:top w:type="dxa" w:w="90"/>
              <w:left w:type="dxa" w:w="120"/>
              <w:bottom w:type="dxa" w:w="90"/>
              <w:right w:type="dxa" w:w="120"/>
            </w:tcMar>
            <w:vAlign w:val="center"/>
          </w:tcPr>
          <w:p>
            <w:r>
              <w:rPr>
                <w:sz w:val="19"/>
                <w:szCs w:val="19"/>
              </w:rPr>
              <w:t xml:space="preserve">Output formatter</w:t>
            </w:r>
          </w:p>
        </w:tc>
        <w:tc>
          <w:tcPr>
            <w:tcW w:type="dxa" w:w="6360"/>
            <w:shd w:fill="FFFFFF" w:color="auto" w:val="clear"/>
            <w:tcMar>
              <w:top w:type="dxa" w:w="90"/>
              <w:left w:type="dxa" w:w="120"/>
              <w:bottom w:type="dxa" w:w="90"/>
              <w:right w:type="dxa" w:w="120"/>
            </w:tcMar>
            <w:vAlign w:val="center"/>
          </w:tcPr>
          <w:p>
            <w:r>
              <w:rPr>
                <w:sz w:val="19"/>
                <w:szCs w:val="19"/>
              </w:rPr>
              <w:t xml:space="preserve">Assembles the final structured response: recommendation, impacted metrics, time horizon, confidence level, citation</w:t>
            </w:r>
          </w:p>
        </w:tc>
      </w:tr>
      <w:tr>
        <w:tc>
          <w:tcPr>
            <w:tcW w:type="dxa" w:w="3000"/>
            <w:shd w:fill="F4FBFB" w:color="auto" w:val="clear"/>
            <w:tcMar>
              <w:top w:type="dxa" w:w="90"/>
              <w:left w:type="dxa" w:w="120"/>
              <w:bottom w:type="dxa" w:w="90"/>
              <w:right w:type="dxa" w:w="120"/>
            </w:tcMar>
            <w:vAlign w:val="center"/>
          </w:tcPr>
          <w:p>
            <w:r>
              <w:rPr>
                <w:sz w:val="19"/>
                <w:szCs w:val="19"/>
              </w:rPr>
              <w:t xml:space="preserve">Memory store</w:t>
            </w:r>
          </w:p>
        </w:tc>
        <w:tc>
          <w:tcPr>
            <w:tcW w:type="dxa" w:w="6360"/>
            <w:shd w:fill="F4FBFB" w:color="auto" w:val="clear"/>
            <w:tcMar>
              <w:top w:type="dxa" w:w="90"/>
              <w:left w:type="dxa" w:w="120"/>
              <w:bottom w:type="dxa" w:w="90"/>
              <w:right w:type="dxa" w:w="120"/>
            </w:tcMar>
            <w:vAlign w:val="center"/>
          </w:tcPr>
          <w:p>
            <w:r>
              <w:rPr>
                <w:sz w:val="19"/>
                <w:szCs w:val="19"/>
              </w:rPr>
              <w:t xml:space="preserve">Retains prior turns and previously supplied variables across the conversation</w:t>
            </w:r>
          </w:p>
        </w:tc>
      </w:tr>
    </w:tbl>
    <w:p>
      <w:pPr>
        <w:spacing w:after="200"/>
      </w:pPr>
    </w:p>
    <w:p>
      <w:pPr>
        <w:pStyle w:val="Heading3"/>
        <w:spacing w:after="160" w:before="320"/>
      </w:pPr>
      <w:r>
        <w:t xml:space="preserve">6.2 Where this differs from a standard RAG agent</w:t>
      </w:r>
    </w:p>
    <w:p>
      <w:pPr>
        <w:spacing w:after="180" w:line="300"/>
      </w:pPr>
      <w:r>
        <w:rPr>
          <w:sz w:val="22"/>
          <w:szCs w:val="22"/>
        </w:rPr>
        <w:t xml:space="preserve">A standard RAG agent stops at the recommendation generator. ROOTCAUSE inserts the Causal Consistency Checker immediately after it and before the output formatter, so no recommendation reaches the user without first passing, or being explicitly marked as failing, a check against the sourced causal map. This is the single architectural difference that carries the project's research contribution.</w:t>
      </w:r>
    </w:p>
    <w:p>
      <w:pPr>
        <w:pStyle w:val="Heading1"/>
        <w:spacing w:after="160" w:before="320"/>
      </w:pPr>
      <w:r>
        <w:t xml:space="preserve">7. Data and Knowledge Sources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600"/>
        <w:gridCol w:w="6760"/>
      </w:tblGrid>
      <w:tr>
        <w:trPr>
          <w:tblHeader/>
        </w:trPr>
        <w:tc>
          <w:tcPr>
            <w:tcW w:type="dxa" w:w="2600"/>
            <w:shd w:fill="1B6E6C" w:color="auto" w:val="clear"/>
            <w:tcMar>
              <w:top w:type="dxa" w:w="100"/>
              <w:left w:type="dxa" w:w="120"/>
              <w:bottom w:type="dxa" w:w="100"/>
              <w:right w:type="dxa" w:w="120"/>
            </w:tcMar>
            <w:vAlign w:val="center"/>
          </w:tcPr>
          <w:p>
            <w:r>
              <w:rPr>
                <w:b/>
                <w:bCs/>
                <w:color w:val="FFFFFF"/>
                <w:sz w:val="19"/>
                <w:szCs w:val="19"/>
              </w:rPr>
              <w:t xml:space="preserve">Domain</w:t>
            </w:r>
          </w:p>
        </w:tc>
        <w:tc>
          <w:tcPr>
            <w:tcW w:type="dxa" w:w="6760"/>
            <w:shd w:fill="1B6E6C" w:color="auto" w:val="clear"/>
            <w:tcMar>
              <w:top w:type="dxa" w:w="100"/>
              <w:left w:type="dxa" w:w="120"/>
              <w:bottom w:type="dxa" w:w="100"/>
              <w:right w:type="dxa" w:w="120"/>
            </w:tcMar>
            <w:vAlign w:val="center"/>
          </w:tcPr>
          <w:p>
            <w:r>
              <w:rPr>
                <w:b/>
                <w:bCs/>
                <w:color w:val="FFFFFF"/>
                <w:sz w:val="19"/>
                <w:szCs w:val="19"/>
              </w:rPr>
              <w:t xml:space="preserve">Candidate sources</w:t>
            </w:r>
          </w:p>
        </w:tc>
      </w:tr>
      <w:tr>
        <w:tc>
          <w:tcPr>
            <w:tcW w:type="dxa" w:w="2600"/>
            <w:shd w:fill="FFFFFF" w:color="auto" w:val="clear"/>
            <w:tcMar>
              <w:top w:type="dxa" w:w="90"/>
              <w:left w:type="dxa" w:w="120"/>
              <w:bottom w:type="dxa" w:w="90"/>
              <w:right w:type="dxa" w:w="120"/>
            </w:tcMar>
            <w:vAlign w:val="center"/>
          </w:tcPr>
          <w:p>
            <w:r>
              <w:rPr>
                <w:sz w:val="19"/>
                <w:szCs w:val="19"/>
              </w:rPr>
              <w:t xml:space="preserve">Soil health</w:t>
            </w:r>
          </w:p>
        </w:tc>
        <w:tc>
          <w:tcPr>
            <w:tcW w:type="dxa" w:w="6760"/>
            <w:shd w:fill="FFFFFF" w:color="auto" w:val="clear"/>
            <w:tcMar>
              <w:top w:type="dxa" w:w="90"/>
              <w:left w:type="dxa" w:w="120"/>
              <w:bottom w:type="dxa" w:w="90"/>
              <w:right w:type="dxa" w:w="120"/>
            </w:tcMar>
            <w:vAlign w:val="center"/>
          </w:tcPr>
          <w:p>
            <w:r>
              <w:rPr>
                <w:sz w:val="19"/>
                <w:szCs w:val="19"/>
              </w:rPr>
              <w:t xml:space="preserve">FAO Global Soil Partnership reports, SoilGrids global soil property maps</w:t>
            </w:r>
          </w:p>
        </w:tc>
      </w:tr>
      <w:tr>
        <w:tc>
          <w:tcPr>
            <w:tcW w:type="dxa" w:w="2600"/>
            <w:shd w:fill="F4FBFB" w:color="auto" w:val="clear"/>
            <w:tcMar>
              <w:top w:type="dxa" w:w="90"/>
              <w:left w:type="dxa" w:w="120"/>
              <w:bottom w:type="dxa" w:w="90"/>
              <w:right w:type="dxa" w:w="120"/>
            </w:tcMar>
            <w:vAlign w:val="center"/>
          </w:tcPr>
          <w:p>
            <w:r>
              <w:rPr>
                <w:sz w:val="19"/>
                <w:szCs w:val="19"/>
              </w:rPr>
              <w:t xml:space="preserve">Land use / land cover</w:t>
            </w:r>
          </w:p>
        </w:tc>
        <w:tc>
          <w:tcPr>
            <w:tcW w:type="dxa" w:w="6760"/>
            <w:shd w:fill="F4FBFB" w:color="auto" w:val="clear"/>
            <w:tcMar>
              <w:top w:type="dxa" w:w="90"/>
              <w:left w:type="dxa" w:w="120"/>
              <w:bottom w:type="dxa" w:w="90"/>
              <w:right w:type="dxa" w:w="120"/>
            </w:tcMar>
            <w:vAlign w:val="center"/>
          </w:tcPr>
          <w:p>
            <w:r>
              <w:rPr>
                <w:sz w:val="19"/>
                <w:szCs w:val="19"/>
              </w:rPr>
              <w:t xml:space="preserve">FAO land-use statistics, ESA WorldCover, regional land-cover datasets</w:t>
            </w:r>
          </w:p>
        </w:tc>
      </w:tr>
      <w:tr>
        <w:tc>
          <w:tcPr>
            <w:tcW w:type="dxa" w:w="2600"/>
            <w:shd w:fill="FFFFFF" w:color="auto" w:val="clear"/>
            <w:tcMar>
              <w:top w:type="dxa" w:w="90"/>
              <w:left w:type="dxa" w:w="120"/>
              <w:bottom w:type="dxa" w:w="90"/>
              <w:right w:type="dxa" w:w="120"/>
            </w:tcMar>
            <w:vAlign w:val="center"/>
          </w:tcPr>
          <w:p>
            <w:r>
              <w:rPr>
                <w:sz w:val="19"/>
                <w:szCs w:val="19"/>
              </w:rPr>
              <w:t xml:space="preserve">Biodiversity indicators</w:t>
            </w:r>
          </w:p>
        </w:tc>
        <w:tc>
          <w:tcPr>
            <w:tcW w:type="dxa" w:w="6760"/>
            <w:shd w:fill="FFFFFF" w:color="auto" w:val="clear"/>
            <w:tcMar>
              <w:top w:type="dxa" w:w="90"/>
              <w:left w:type="dxa" w:w="120"/>
              <w:bottom w:type="dxa" w:w="90"/>
              <w:right w:type="dxa" w:w="120"/>
            </w:tcMar>
            <w:vAlign w:val="center"/>
          </w:tcPr>
          <w:p>
            <w:r>
              <w:rPr>
                <w:sz w:val="19"/>
                <w:szCs w:val="19"/>
              </w:rPr>
              <w:t xml:space="preserve">GBIF species occurrence data, IPBES assessment reports</w:t>
            </w:r>
          </w:p>
        </w:tc>
      </w:tr>
      <w:tr>
        <w:tc>
          <w:tcPr>
            <w:tcW w:type="dxa" w:w="2600"/>
            <w:shd w:fill="F4FBFB" w:color="auto" w:val="clear"/>
            <w:tcMar>
              <w:top w:type="dxa" w:w="90"/>
              <w:left w:type="dxa" w:w="120"/>
              <w:bottom w:type="dxa" w:w="90"/>
              <w:right w:type="dxa" w:w="120"/>
            </w:tcMar>
            <w:vAlign w:val="center"/>
          </w:tcPr>
          <w:p>
            <w:r>
              <w:rPr>
                <w:sz w:val="19"/>
                <w:szCs w:val="19"/>
              </w:rPr>
              <w:t xml:space="preserve">Climate factors</w:t>
            </w:r>
          </w:p>
        </w:tc>
        <w:tc>
          <w:tcPr>
            <w:tcW w:type="dxa" w:w="6760"/>
            <w:shd w:fill="F4FBFB" w:color="auto" w:val="clear"/>
            <w:tcMar>
              <w:top w:type="dxa" w:w="90"/>
              <w:left w:type="dxa" w:w="120"/>
              <w:bottom w:type="dxa" w:w="90"/>
              <w:right w:type="dxa" w:w="120"/>
            </w:tcMar>
            <w:vAlign w:val="center"/>
          </w:tcPr>
          <w:p>
            <w:r>
              <w:rPr>
                <w:sz w:val="19"/>
                <w:szCs w:val="19"/>
              </w:rPr>
              <w:t xml:space="preserve">IPCC assessment reports, regional rainfall and temperature datasets</w:t>
            </w:r>
          </w:p>
        </w:tc>
      </w:tr>
      <w:tr>
        <w:tc>
          <w:tcPr>
            <w:tcW w:type="dxa" w:w="2600"/>
            <w:shd w:fill="FFFFFF" w:color="auto" w:val="clear"/>
            <w:tcMar>
              <w:top w:type="dxa" w:w="90"/>
              <w:left w:type="dxa" w:w="120"/>
              <w:bottom w:type="dxa" w:w="90"/>
              <w:right w:type="dxa" w:w="120"/>
            </w:tcMar>
            <w:vAlign w:val="center"/>
          </w:tcPr>
          <w:p>
            <w:r>
              <w:rPr>
                <w:sz w:val="19"/>
                <w:szCs w:val="19"/>
              </w:rPr>
              <w:t xml:space="preserve">Human impact</w:t>
            </w:r>
          </w:p>
        </w:tc>
        <w:tc>
          <w:tcPr>
            <w:tcW w:type="dxa" w:w="6760"/>
            <w:shd w:fill="FFFFFF" w:color="auto" w:val="clear"/>
            <w:tcMar>
              <w:top w:type="dxa" w:w="90"/>
              <w:left w:type="dxa" w:w="120"/>
              <w:bottom w:type="dxa" w:w="90"/>
              <w:right w:type="dxa" w:w="120"/>
            </w:tcMar>
            <w:vAlign w:val="center"/>
          </w:tcPr>
          <w:p>
            <w:r>
              <w:rPr>
                <w:sz w:val="19"/>
                <w:szCs w:val="19"/>
              </w:rPr>
              <w:t xml:space="preserve">FAO deforestation and land-degradation reports, pollution indicator datasets</w:t>
            </w:r>
          </w:p>
        </w:tc>
      </w:tr>
    </w:tbl>
    <w:p>
      <w:pPr>
        <w:spacing w:after="200"/>
      </w:pPr>
    </w:p>
    <w:p>
      <w:pPr>
        <w:spacing w:after="180" w:line="300"/>
      </w:pPr>
      <w:r>
        <w:rPr>
          <w:sz w:val="22"/>
          <w:szCs w:val="22"/>
        </w:rPr>
        <w:t xml:space="preserve">These same sources serve two purposes at once: they populate the vector index that satisfies the challenge's knowledge-system requirement, and their stated findings become the labeled edges of the causal map used by the consistency checker. Building the index and building the causal map should be treated as one combined data-curation task rather than two separate ones, since it is the same reading effort either way.</w:t>
      </w:r>
    </w:p>
    <w:p>
      <w:pPr>
        <w:pStyle w:val="Heading1"/>
        <w:spacing w:after="160" w:before="320"/>
      </w:pPr>
      <w:r>
        <w:t xml:space="preserve">8. Methodology and Pipeline</w:t>
      </w:r>
    </w:p>
    <w:p>
      <w:pPr>
        <w:spacing w:after="180" w:line="300"/>
      </w:pPr>
      <w:r>
        <w:rPr>
          <w:sz w:val="22"/>
          <w:szCs w:val="22"/>
        </w:rPr>
        <w:t xml:space="preserve">The build proceeds in four phases, each producing a working, demonstrable increment rather than leaving integration to the end.</w:t>
      </w:r>
    </w:p>
    <w:p>
      <w:pPr>
        <w:pStyle w:val="Heading3"/>
        <w:spacing w:after="160" w:before="320"/>
      </w:pPr>
      <w:r>
        <w:t xml:space="preserve">8.1 Phase one: knowledge base and causal map</w:t>
      </w:r>
    </w:p>
    <w:p>
      <w:pPr>
        <w:spacing w:after="180" w:line="300"/>
      </w:pPr>
      <w:r>
        <w:rPr>
          <w:sz w:val="22"/>
          <w:szCs w:val="22"/>
        </w:rPr>
        <w:t xml:space="preserve">Collect and chunk the source documents, build the vector index, and in parallel build the causal graph as a simple structure with each edge tagged to its source. This phase produces no chatbot yet, only the two knowledge artifacts the rest of the system depends on.</w:t>
      </w:r>
    </w:p>
    <w:p>
      <w:pPr>
        <w:pStyle w:val="Heading3"/>
        <w:spacing w:after="160" w:before="320"/>
      </w:pPr>
      <w:r>
        <w:t xml:space="preserve">8.2 Phase two: conversational agent</w:t>
      </w:r>
    </w:p>
    <w:p>
      <w:pPr>
        <w:spacing w:after="180" w:line="300"/>
      </w:pPr>
      <w:r>
        <w:rPr>
          <w:sz w:val="22"/>
          <w:szCs w:val="22"/>
        </w:rPr>
        <w:t xml:space="preserve">Build the ReAct agent with retrieval and correlation tools, the clarification node, and multi-turn memory. At the end of this phase the system can already satisfy the knowledge-system and conversational-intelligence requirements on their own, without the causal checker.</w:t>
      </w:r>
    </w:p>
    <w:p>
      <w:pPr>
        <w:pStyle w:val="Heading3"/>
        <w:spacing w:after="160" w:before="320"/>
      </w:pPr>
      <w:r>
        <w:t xml:space="preserve">8.3 Phase three: causal consistency checker</w:t>
      </w:r>
    </w:p>
    <w:p>
      <w:pPr>
        <w:spacing w:after="180" w:line="300"/>
      </w:pPr>
      <w:r>
        <w:rPr>
          <w:sz w:val="22"/>
          <w:szCs w:val="22"/>
        </w:rPr>
        <w:t xml:space="preserve">Add the claim-extraction step and the validation logic against the causal map. This is the phase that turns the submission from a competent RAG chatbot into the differentiated research contribution.</w:t>
      </w:r>
    </w:p>
    <w:p>
      <w:pPr>
        <w:pStyle w:val="Heading3"/>
        <w:spacing w:after="160" w:before="320"/>
      </w:pPr>
      <w:r>
        <w:t xml:space="preserve">8.4 Phase four: evaluation and packaging</w:t>
      </w:r>
    </w:p>
    <w:p>
      <w:pPr>
        <w:spacing w:after="180" w:line="300"/>
      </w:pPr>
      <w:r>
        <w:rPr>
          <w:sz w:val="22"/>
          <w:szCs w:val="22"/>
        </w:rPr>
        <w:t xml:space="preserve">Run the evaluation described in section nine, package the submission materials the challenge requires, and prepare the README and repository for review.</w:t>
      </w:r>
    </w:p>
    <w:p>
      <w:r>
        <w:br w:type="page"/>
      </w:r>
    </w:p>
    <w:p>
      <w:pPr>
        <w:pStyle w:val="Heading1"/>
        <w:spacing w:after="160" w:before="320"/>
      </w:pPr>
      <w:r>
        <w:t xml:space="preserve">9. Experimental Design and Evaluation</w:t>
      </w:r>
    </w:p>
    <w:p>
      <w:pPr>
        <w:spacing w:after="180" w:line="300"/>
      </w:pPr>
      <w:r>
        <w:rPr>
          <w:sz w:val="22"/>
          <w:szCs w:val="22"/>
        </w:rPr>
        <w:t xml:space="preserve">To demonstrate that the Causal Consistency Checker actually improves reasoning quality rather than just adding complexity, the system should be evaluated against its own simpler versions, not only demonstrated on the example use case from the challenge document.</w:t>
      </w:r>
    </w:p>
    <w:p>
      <w:pPr>
        <w:pStyle w:val="Heading3"/>
        <w:spacing w:after="160" w:before="320"/>
      </w:pPr>
      <w:r>
        <w:t xml:space="preserve">9.1 Test set</w:t>
      </w:r>
    </w:p>
    <w:p>
      <w:pPr>
        <w:spacing w:after="180" w:line="300"/>
      </w:pPr>
      <w:r>
        <w:rPr>
          <w:sz w:val="22"/>
          <w:szCs w:val="22"/>
        </w:rPr>
        <w:t xml:space="preserve">Hand-build 30 to 50 short scenarios spanning the five required domains, each combining at least three variables, similar in shape to the semi-arid monoculture wheat example given in the challenge. For each scenario, note in advance which multi-variable claims are supported by the indexed sources and which plausible-sounding claims are not, to serve as an answer key.</w:t>
      </w:r>
    </w:p>
    <w:p>
      <w:pPr>
        <w:pStyle w:val="Heading3"/>
        <w:spacing w:after="160" w:before="320"/>
      </w:pPr>
      <w:r>
        <w:t xml:space="preserve">9.2 Conditions compared</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800"/>
        <w:gridCol w:w="6560"/>
      </w:tblGrid>
      <w:tr>
        <w:trPr>
          <w:tblHeader/>
        </w:trPr>
        <w:tc>
          <w:tcPr>
            <w:tcW w:type="dxa" w:w="2800"/>
            <w:shd w:fill="1B6E6C" w:color="auto" w:val="clear"/>
            <w:tcMar>
              <w:top w:type="dxa" w:w="100"/>
              <w:left w:type="dxa" w:w="120"/>
              <w:bottom w:type="dxa" w:w="100"/>
              <w:right w:type="dxa" w:w="120"/>
            </w:tcMar>
            <w:vAlign w:val="center"/>
          </w:tcPr>
          <w:p>
            <w:r>
              <w:rPr>
                <w:b/>
                <w:bCs/>
                <w:color w:val="FFFFFF"/>
                <w:sz w:val="19"/>
                <w:szCs w:val="19"/>
              </w:rPr>
              <w:t xml:space="preserve">Condition</w:t>
            </w:r>
          </w:p>
        </w:tc>
        <w:tc>
          <w:tcPr>
            <w:tcW w:type="dxa" w:w="6560"/>
            <w:shd w:fill="1B6E6C" w:color="auto" w:val="clear"/>
            <w:tcMar>
              <w:top w:type="dxa" w:w="100"/>
              <w:left w:type="dxa" w:w="120"/>
              <w:bottom w:type="dxa" w:w="100"/>
              <w:right w:type="dxa" w:w="120"/>
            </w:tcMar>
            <w:vAlign w:val="center"/>
          </w:tcPr>
          <w:p>
            <w:r>
              <w:rPr>
                <w:b/>
                <w:bCs/>
                <w:color w:val="FFFFFF"/>
                <w:sz w:val="19"/>
                <w:szCs w:val="19"/>
              </w:rPr>
              <w:t xml:space="preserve">Description</w:t>
            </w:r>
          </w:p>
        </w:tc>
      </w:tr>
      <w:tr>
        <w:tc>
          <w:tcPr>
            <w:tcW w:type="dxa" w:w="2800"/>
            <w:shd w:fill="FFFFFF" w:color="auto" w:val="clear"/>
            <w:tcMar>
              <w:top w:type="dxa" w:w="90"/>
              <w:left w:type="dxa" w:w="120"/>
              <w:bottom w:type="dxa" w:w="90"/>
              <w:right w:type="dxa" w:w="120"/>
            </w:tcMar>
            <w:vAlign w:val="center"/>
          </w:tcPr>
          <w:p>
            <w:r>
              <w:rPr>
                <w:sz w:val="19"/>
                <w:szCs w:val="19"/>
              </w:rPr>
              <w:t xml:space="preserve">Language model only</w:t>
            </w:r>
          </w:p>
        </w:tc>
        <w:tc>
          <w:tcPr>
            <w:tcW w:type="dxa" w:w="6560"/>
            <w:shd w:fill="FFFFFF" w:color="auto" w:val="clear"/>
            <w:tcMar>
              <w:top w:type="dxa" w:w="90"/>
              <w:left w:type="dxa" w:w="120"/>
              <w:bottom w:type="dxa" w:w="90"/>
              <w:right w:type="dxa" w:w="120"/>
            </w:tcMar>
            <w:vAlign w:val="center"/>
          </w:tcPr>
          <w:p>
            <w:r>
              <w:rPr>
                <w:sz w:val="19"/>
                <w:szCs w:val="19"/>
              </w:rPr>
              <w:t xml:space="preserve">No retrieval, no checker; the model answers from its own training</w:t>
            </w:r>
          </w:p>
        </w:tc>
      </w:tr>
      <w:tr>
        <w:tc>
          <w:tcPr>
            <w:tcW w:type="dxa" w:w="2800"/>
            <w:shd w:fill="F4FBFB" w:color="auto" w:val="clear"/>
            <w:tcMar>
              <w:top w:type="dxa" w:w="90"/>
              <w:left w:type="dxa" w:w="120"/>
              <w:bottom w:type="dxa" w:w="90"/>
              <w:right w:type="dxa" w:w="120"/>
            </w:tcMar>
            <w:vAlign w:val="center"/>
          </w:tcPr>
          <w:p>
            <w:r>
              <w:rPr>
                <w:sz w:val="19"/>
                <w:szCs w:val="19"/>
              </w:rPr>
              <w:t xml:space="preserve">RAG-grounded</w:t>
            </w:r>
          </w:p>
        </w:tc>
        <w:tc>
          <w:tcPr>
            <w:tcW w:type="dxa" w:w="6560"/>
            <w:shd w:fill="F4FBFB" w:color="auto" w:val="clear"/>
            <w:tcMar>
              <w:top w:type="dxa" w:w="90"/>
              <w:left w:type="dxa" w:w="120"/>
              <w:bottom w:type="dxa" w:w="90"/>
              <w:right w:type="dxa" w:w="120"/>
            </w:tcMar>
            <w:vAlign w:val="center"/>
          </w:tcPr>
          <w:p>
            <w:r>
              <w:rPr>
                <w:sz w:val="19"/>
                <w:szCs w:val="19"/>
              </w:rPr>
              <w:t xml:space="preserve">Retrieval added, matching what most competing submissions will build</w:t>
            </w:r>
          </w:p>
        </w:tc>
      </w:tr>
      <w:tr>
        <w:tc>
          <w:tcPr>
            <w:tcW w:type="dxa" w:w="2800"/>
            <w:shd w:fill="FFFFFF" w:color="auto" w:val="clear"/>
            <w:tcMar>
              <w:top w:type="dxa" w:w="90"/>
              <w:left w:type="dxa" w:w="120"/>
              <w:bottom w:type="dxa" w:w="90"/>
              <w:right w:type="dxa" w:w="120"/>
            </w:tcMar>
            <w:vAlign w:val="center"/>
          </w:tcPr>
          <w:p>
            <w:r>
              <w:rPr>
                <w:sz w:val="19"/>
                <w:szCs w:val="19"/>
              </w:rPr>
              <w:t xml:space="preserve">ROOTCAUSE (full)</w:t>
            </w:r>
          </w:p>
        </w:tc>
        <w:tc>
          <w:tcPr>
            <w:tcW w:type="dxa" w:w="6560"/>
            <w:shd w:fill="FFFFFF" w:color="auto" w:val="clear"/>
            <w:tcMar>
              <w:top w:type="dxa" w:w="90"/>
              <w:left w:type="dxa" w:w="120"/>
              <w:bottom w:type="dxa" w:w="90"/>
              <w:right w:type="dxa" w:w="120"/>
            </w:tcMar>
            <w:vAlign w:val="center"/>
          </w:tcPr>
          <w:p>
            <w:r>
              <w:rPr>
                <w:sz w:val="19"/>
                <w:szCs w:val="19"/>
              </w:rPr>
              <w:t xml:space="preserve">Retrieval plus the causal consistency checker</w:t>
            </w:r>
          </w:p>
        </w:tc>
      </w:tr>
    </w:tbl>
    <w:p>
      <w:pPr>
        <w:spacing w:after="200"/>
      </w:pPr>
    </w:p>
    <w:p>
      <w:pPr>
        <w:pStyle w:val="Heading3"/>
        <w:spacing w:after="160" w:before="320"/>
      </w:pPr>
      <w:r>
        <w:t xml:space="preserve">9.3 What is measured</w:t>
      </w:r>
    </w:p>
    <w:p>
      <w:pPr>
        <w:spacing w:after="180" w:line="300"/>
      </w:pPr>
      <w:r>
        <w:rPr>
          <w:sz w:val="22"/>
          <w:szCs w:val="22"/>
        </w:rPr>
        <w:t xml:space="preserve">For each condition, score the rate of multi-variable claims that are causally valid according to the answer key, and separately measure how often the checker itself correctly flags a claim that the answer key marks as unsupported. The improvement from RAG-grounded to full ROOTCAUSE is the direct evidence for the project's core claim.</w:t>
      </w:r>
    </w:p>
    <w:p>
      <w:pPr>
        <w:pStyle w:val="Heading1"/>
        <w:spacing w:after="160" w:before="320"/>
      </w:pPr>
      <w:r>
        <w:t xml:space="preserve">10. Baselines and Metrics</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3000"/>
        <w:gridCol w:w="6360"/>
      </w:tblGrid>
      <w:tr>
        <w:trPr>
          <w:tblHeader/>
        </w:trPr>
        <w:tc>
          <w:tcPr>
            <w:tcW w:type="dxa" w:w="3000"/>
            <w:shd w:fill="1B6E6C" w:color="auto" w:val="clear"/>
            <w:tcMar>
              <w:top w:type="dxa" w:w="100"/>
              <w:left w:type="dxa" w:w="120"/>
              <w:bottom w:type="dxa" w:w="100"/>
              <w:right w:type="dxa" w:w="120"/>
            </w:tcMar>
            <w:vAlign w:val="center"/>
          </w:tcPr>
          <w:p>
            <w:r>
              <w:rPr>
                <w:b/>
                <w:bCs/>
                <w:color w:val="FFFFFF"/>
                <w:sz w:val="19"/>
                <w:szCs w:val="19"/>
              </w:rPr>
              <w:t xml:space="preserve">Metric</w:t>
            </w:r>
          </w:p>
        </w:tc>
        <w:tc>
          <w:tcPr>
            <w:tcW w:type="dxa" w:w="6360"/>
            <w:shd w:fill="1B6E6C" w:color="auto" w:val="clear"/>
            <w:tcMar>
              <w:top w:type="dxa" w:w="100"/>
              <w:left w:type="dxa" w:w="120"/>
              <w:bottom w:type="dxa" w:w="100"/>
              <w:right w:type="dxa" w:w="120"/>
            </w:tcMar>
            <w:vAlign w:val="center"/>
          </w:tcPr>
          <w:p>
            <w:r>
              <w:rPr>
                <w:b/>
                <w:bCs/>
                <w:color w:val="FFFFFF"/>
                <w:sz w:val="19"/>
                <w:szCs w:val="19"/>
              </w:rPr>
              <w:t xml:space="preserve">What it captures</w:t>
            </w:r>
          </w:p>
        </w:tc>
      </w:tr>
      <w:tr>
        <w:tc>
          <w:tcPr>
            <w:tcW w:type="dxa" w:w="3000"/>
            <w:shd w:fill="FFFFFF" w:color="auto" w:val="clear"/>
            <w:tcMar>
              <w:top w:type="dxa" w:w="90"/>
              <w:left w:type="dxa" w:w="120"/>
              <w:bottom w:type="dxa" w:w="90"/>
              <w:right w:type="dxa" w:w="120"/>
            </w:tcMar>
            <w:vAlign w:val="center"/>
          </w:tcPr>
          <w:p>
            <w:r>
              <w:rPr>
                <w:sz w:val="19"/>
                <w:szCs w:val="19"/>
              </w:rPr>
              <w:t xml:space="preserve">Causal validity rate</w:t>
            </w:r>
          </w:p>
        </w:tc>
        <w:tc>
          <w:tcPr>
            <w:tcW w:type="dxa" w:w="6360"/>
            <w:shd w:fill="FFFFFF" w:color="auto" w:val="clear"/>
            <w:tcMar>
              <w:top w:type="dxa" w:w="90"/>
              <w:left w:type="dxa" w:w="120"/>
              <w:bottom w:type="dxa" w:w="90"/>
              <w:right w:type="dxa" w:w="120"/>
            </w:tcMar>
            <w:vAlign w:val="center"/>
          </w:tcPr>
          <w:p>
            <w:r>
              <w:rPr>
                <w:sz w:val="19"/>
                <w:szCs w:val="19"/>
              </w:rPr>
              <w:t xml:space="preserve">Share of generated multi-variable claims that match the answer key</w:t>
            </w:r>
          </w:p>
        </w:tc>
      </w:tr>
      <w:tr>
        <w:tc>
          <w:tcPr>
            <w:tcW w:type="dxa" w:w="3000"/>
            <w:shd w:fill="F4FBFB" w:color="auto" w:val="clear"/>
            <w:tcMar>
              <w:top w:type="dxa" w:w="90"/>
              <w:left w:type="dxa" w:w="120"/>
              <w:bottom w:type="dxa" w:w="90"/>
              <w:right w:type="dxa" w:w="120"/>
            </w:tcMar>
            <w:vAlign w:val="center"/>
          </w:tcPr>
          <w:p>
            <w:r>
              <w:rPr>
                <w:sz w:val="19"/>
                <w:szCs w:val="19"/>
              </w:rPr>
              <w:t xml:space="preserve">Checker precision</w:t>
            </w:r>
          </w:p>
        </w:tc>
        <w:tc>
          <w:tcPr>
            <w:tcW w:type="dxa" w:w="6360"/>
            <w:shd w:fill="F4FBFB" w:color="auto" w:val="clear"/>
            <w:tcMar>
              <w:top w:type="dxa" w:w="90"/>
              <w:left w:type="dxa" w:w="120"/>
              <w:bottom w:type="dxa" w:w="90"/>
              <w:right w:type="dxa" w:w="120"/>
            </w:tcMar>
            <w:vAlign w:val="center"/>
          </w:tcPr>
          <w:p>
            <w:r>
              <w:rPr>
                <w:sz w:val="19"/>
                <w:szCs w:val="19"/>
              </w:rPr>
              <w:t xml:space="preserve">Of the claims the checker flags as invalid, how many truly are</w:t>
            </w:r>
          </w:p>
        </w:tc>
      </w:tr>
      <w:tr>
        <w:tc>
          <w:tcPr>
            <w:tcW w:type="dxa" w:w="3000"/>
            <w:shd w:fill="FFFFFF" w:color="auto" w:val="clear"/>
            <w:tcMar>
              <w:top w:type="dxa" w:w="90"/>
              <w:left w:type="dxa" w:w="120"/>
              <w:bottom w:type="dxa" w:w="90"/>
              <w:right w:type="dxa" w:w="120"/>
            </w:tcMar>
            <w:vAlign w:val="center"/>
          </w:tcPr>
          <w:p>
            <w:r>
              <w:rPr>
                <w:sz w:val="19"/>
                <w:szCs w:val="19"/>
              </w:rPr>
              <w:t xml:space="preserve">Checker recall</w:t>
            </w:r>
          </w:p>
        </w:tc>
        <w:tc>
          <w:tcPr>
            <w:tcW w:type="dxa" w:w="6360"/>
            <w:shd w:fill="FFFFFF" w:color="auto" w:val="clear"/>
            <w:tcMar>
              <w:top w:type="dxa" w:w="90"/>
              <w:left w:type="dxa" w:w="120"/>
              <w:bottom w:type="dxa" w:w="90"/>
              <w:right w:type="dxa" w:w="120"/>
            </w:tcMar>
            <w:vAlign w:val="center"/>
          </w:tcPr>
          <w:p>
            <w:r>
              <w:rPr>
                <w:sz w:val="19"/>
                <w:szCs w:val="19"/>
              </w:rPr>
              <w:t xml:space="preserve">Of the truly invalid claims in the test set, how many the checker catches</w:t>
            </w:r>
          </w:p>
        </w:tc>
      </w:tr>
      <w:tr>
        <w:tc>
          <w:tcPr>
            <w:tcW w:type="dxa" w:w="3000"/>
            <w:shd w:fill="F4FBFB" w:color="auto" w:val="clear"/>
            <w:tcMar>
              <w:top w:type="dxa" w:w="90"/>
              <w:left w:type="dxa" w:w="120"/>
              <w:bottom w:type="dxa" w:w="90"/>
              <w:right w:type="dxa" w:w="120"/>
            </w:tcMar>
            <w:vAlign w:val="center"/>
          </w:tcPr>
          <w:p>
            <w:r>
              <w:rPr>
                <w:sz w:val="19"/>
                <w:szCs w:val="19"/>
              </w:rPr>
              <w:t xml:space="preserve">Retrieval grounding rate</w:t>
            </w:r>
          </w:p>
        </w:tc>
        <w:tc>
          <w:tcPr>
            <w:tcW w:type="dxa" w:w="6360"/>
            <w:shd w:fill="F4FBFB" w:color="auto" w:val="clear"/>
            <w:tcMar>
              <w:top w:type="dxa" w:w="90"/>
              <w:left w:type="dxa" w:w="120"/>
              <w:bottom w:type="dxa" w:w="90"/>
              <w:right w:type="dxa" w:w="120"/>
            </w:tcMar>
            <w:vAlign w:val="center"/>
          </w:tcPr>
          <w:p>
            <w:r>
              <w:rPr>
                <w:sz w:val="19"/>
                <w:szCs w:val="19"/>
              </w:rPr>
              <w:t xml:space="preserve">Share of individual facts correctly traced to an indexed source (baseline RAG metric)</w:t>
            </w:r>
          </w:p>
        </w:tc>
      </w:tr>
      <w:tr>
        <w:tc>
          <w:tcPr>
            <w:tcW w:type="dxa" w:w="3000"/>
            <w:shd w:fill="FFFFFF" w:color="auto" w:val="clear"/>
            <w:tcMar>
              <w:top w:type="dxa" w:w="90"/>
              <w:left w:type="dxa" w:w="120"/>
              <w:bottom w:type="dxa" w:w="90"/>
              <w:right w:type="dxa" w:w="120"/>
            </w:tcMar>
            <w:vAlign w:val="center"/>
          </w:tcPr>
          <w:p>
            <w:r>
              <w:rPr>
                <w:sz w:val="19"/>
                <w:szCs w:val="19"/>
              </w:rPr>
              <w:t xml:space="preserve">Conversational completion</w:t>
            </w:r>
          </w:p>
        </w:tc>
        <w:tc>
          <w:tcPr>
            <w:tcW w:type="dxa" w:w="6360"/>
            <w:shd w:fill="FFFFFF" w:color="auto" w:val="clear"/>
            <w:tcMar>
              <w:top w:type="dxa" w:w="90"/>
              <w:left w:type="dxa" w:w="120"/>
              <w:bottom w:type="dxa" w:w="90"/>
              <w:right w:type="dxa" w:w="120"/>
            </w:tcMar>
            <w:vAlign w:val="center"/>
          </w:tcPr>
          <w:p>
            <w:r>
              <w:rPr>
                <w:sz w:val="19"/>
                <w:szCs w:val="19"/>
              </w:rPr>
              <w:t xml:space="preserve">Share of incomplete-input scenarios where the clarification node asks the right follow-up</w:t>
            </w:r>
          </w:p>
        </w:tc>
      </w:tr>
    </w:tbl>
    <w:p>
      <w:pPr>
        <w:spacing w:after="200"/>
      </w:pPr>
    </w:p>
    <w:p>
      <w:pPr>
        <w:pStyle w:val="Heading1"/>
        <w:spacing w:after="160" w:before="320"/>
      </w:pPr>
      <w:r>
        <w:t xml:space="preserve">11. Project Timeline</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1200"/>
        <w:gridCol w:w="3600"/>
        <w:gridCol w:w="4560"/>
      </w:tblGrid>
      <w:tr>
        <w:trPr>
          <w:tblHeader/>
        </w:trPr>
        <w:tc>
          <w:tcPr>
            <w:tcW w:type="dxa" w:w="1200"/>
            <w:shd w:fill="1B6E6C" w:color="auto" w:val="clear"/>
            <w:tcMar>
              <w:top w:type="dxa" w:w="100"/>
              <w:left w:type="dxa" w:w="120"/>
              <w:bottom w:type="dxa" w:w="100"/>
              <w:right w:type="dxa" w:w="120"/>
            </w:tcMar>
            <w:vAlign w:val="center"/>
          </w:tcPr>
          <w:p>
            <w:r>
              <w:rPr>
                <w:b/>
                <w:bCs/>
                <w:color w:val="FFFFFF"/>
                <w:sz w:val="19"/>
                <w:szCs w:val="19"/>
              </w:rPr>
              <w:t xml:space="preserve">Week</w:t>
            </w:r>
          </w:p>
        </w:tc>
        <w:tc>
          <w:tcPr>
            <w:tcW w:type="dxa" w:w="3600"/>
            <w:shd w:fill="1B6E6C" w:color="auto" w:val="clear"/>
            <w:tcMar>
              <w:top w:type="dxa" w:w="100"/>
              <w:left w:type="dxa" w:w="120"/>
              <w:bottom w:type="dxa" w:w="100"/>
              <w:right w:type="dxa" w:w="120"/>
            </w:tcMar>
            <w:vAlign w:val="center"/>
          </w:tcPr>
          <w:p>
            <w:r>
              <w:rPr>
                <w:b/>
                <w:bCs/>
                <w:color w:val="FFFFFF"/>
                <w:sz w:val="19"/>
                <w:szCs w:val="19"/>
              </w:rPr>
              <w:t xml:space="preserve">Focus</w:t>
            </w:r>
          </w:p>
        </w:tc>
        <w:tc>
          <w:tcPr>
            <w:tcW w:type="dxa" w:w="4560"/>
            <w:shd w:fill="1B6E6C" w:color="auto" w:val="clear"/>
            <w:tcMar>
              <w:top w:type="dxa" w:w="100"/>
              <w:left w:type="dxa" w:w="120"/>
              <w:bottom w:type="dxa" w:w="100"/>
              <w:right w:type="dxa" w:w="120"/>
            </w:tcMar>
            <w:vAlign w:val="center"/>
          </w:tcPr>
          <w:p>
            <w:r>
              <w:rPr>
                <w:b/>
                <w:bCs/>
                <w:color w:val="FFFFFF"/>
                <w:sz w:val="19"/>
                <w:szCs w:val="19"/>
              </w:rPr>
              <w:t xml:space="preserve">Deliverable</w:t>
            </w:r>
          </w:p>
        </w:tc>
      </w:tr>
      <w:tr>
        <w:tc>
          <w:tcPr>
            <w:tcW w:type="dxa" w:w="1200"/>
            <w:shd w:fill="FFFFFF" w:color="auto" w:val="clear"/>
            <w:tcMar>
              <w:top w:type="dxa" w:w="90"/>
              <w:left w:type="dxa" w:w="120"/>
              <w:bottom w:type="dxa" w:w="90"/>
              <w:right w:type="dxa" w:w="120"/>
            </w:tcMar>
            <w:vAlign w:val="center"/>
          </w:tcPr>
          <w:p>
            <w:r>
              <w:rPr>
                <w:sz w:val="19"/>
                <w:szCs w:val="19"/>
              </w:rPr>
              <w:t xml:space="preserve">1</w:t>
            </w:r>
          </w:p>
        </w:tc>
        <w:tc>
          <w:tcPr>
            <w:tcW w:type="dxa" w:w="3600"/>
            <w:shd w:fill="FFFFFF" w:color="auto" w:val="clear"/>
            <w:tcMar>
              <w:top w:type="dxa" w:w="90"/>
              <w:left w:type="dxa" w:w="120"/>
              <w:bottom w:type="dxa" w:w="90"/>
              <w:right w:type="dxa" w:w="120"/>
            </w:tcMar>
            <w:vAlign w:val="center"/>
          </w:tcPr>
          <w:p>
            <w:r>
              <w:rPr>
                <w:sz w:val="19"/>
                <w:szCs w:val="19"/>
              </w:rPr>
              <w:t xml:space="preserve">Source collection and causal map drafting</w:t>
            </w:r>
          </w:p>
        </w:tc>
        <w:tc>
          <w:tcPr>
            <w:tcW w:type="dxa" w:w="4560"/>
            <w:shd w:fill="FFFFFF" w:color="auto" w:val="clear"/>
            <w:tcMar>
              <w:top w:type="dxa" w:w="90"/>
              <w:left w:type="dxa" w:w="120"/>
              <w:bottom w:type="dxa" w:w="90"/>
              <w:right w:type="dxa" w:w="120"/>
            </w:tcMar>
            <w:vAlign w:val="center"/>
          </w:tcPr>
          <w:p>
            <w:r>
              <w:rPr>
                <w:sz w:val="19"/>
                <w:szCs w:val="19"/>
              </w:rPr>
              <w:t xml:space="preserve">Chunked documents, first version of the causal graph</w:t>
            </w:r>
          </w:p>
        </w:tc>
      </w:tr>
      <w:tr>
        <w:tc>
          <w:tcPr>
            <w:tcW w:type="dxa" w:w="1200"/>
            <w:shd w:fill="F4FBFB" w:color="auto" w:val="clear"/>
            <w:tcMar>
              <w:top w:type="dxa" w:w="90"/>
              <w:left w:type="dxa" w:w="120"/>
              <w:bottom w:type="dxa" w:w="90"/>
              <w:right w:type="dxa" w:w="120"/>
            </w:tcMar>
            <w:vAlign w:val="center"/>
          </w:tcPr>
          <w:p>
            <w:r>
              <w:rPr>
                <w:sz w:val="19"/>
                <w:szCs w:val="19"/>
              </w:rPr>
              <w:t xml:space="preserve">2</w:t>
            </w:r>
          </w:p>
        </w:tc>
        <w:tc>
          <w:tcPr>
            <w:tcW w:type="dxa" w:w="3600"/>
            <w:shd w:fill="F4FBFB" w:color="auto" w:val="clear"/>
            <w:tcMar>
              <w:top w:type="dxa" w:w="90"/>
              <w:left w:type="dxa" w:w="120"/>
              <w:bottom w:type="dxa" w:w="90"/>
              <w:right w:type="dxa" w:w="120"/>
            </w:tcMar>
            <w:vAlign w:val="center"/>
          </w:tcPr>
          <w:p>
            <w:r>
              <w:rPr>
                <w:sz w:val="19"/>
                <w:szCs w:val="19"/>
              </w:rPr>
              <w:t xml:space="preserve">Knowledge base indexing</w:t>
            </w:r>
          </w:p>
        </w:tc>
        <w:tc>
          <w:tcPr>
            <w:tcW w:type="dxa" w:w="4560"/>
            <w:shd w:fill="F4FBFB" w:color="auto" w:val="clear"/>
            <w:tcMar>
              <w:top w:type="dxa" w:w="90"/>
              <w:left w:type="dxa" w:w="120"/>
              <w:bottom w:type="dxa" w:w="90"/>
              <w:right w:type="dxa" w:w="120"/>
            </w:tcMar>
            <w:vAlign w:val="center"/>
          </w:tcPr>
          <w:p>
            <w:r>
              <w:rPr>
                <w:sz w:val="19"/>
                <w:szCs w:val="19"/>
              </w:rPr>
              <w:t xml:space="preserve">Working vector index across all five domains</w:t>
            </w:r>
          </w:p>
        </w:tc>
      </w:tr>
      <w:tr>
        <w:tc>
          <w:tcPr>
            <w:tcW w:type="dxa" w:w="1200"/>
            <w:shd w:fill="FFFFFF" w:color="auto" w:val="clear"/>
            <w:tcMar>
              <w:top w:type="dxa" w:w="90"/>
              <w:left w:type="dxa" w:w="120"/>
              <w:bottom w:type="dxa" w:w="90"/>
              <w:right w:type="dxa" w:w="120"/>
            </w:tcMar>
            <w:vAlign w:val="center"/>
          </w:tcPr>
          <w:p>
            <w:r>
              <w:rPr>
                <w:sz w:val="19"/>
                <w:szCs w:val="19"/>
              </w:rPr>
              <w:t xml:space="preserve">3</w:t>
            </w:r>
          </w:p>
        </w:tc>
        <w:tc>
          <w:tcPr>
            <w:tcW w:type="dxa" w:w="3600"/>
            <w:shd w:fill="FFFFFF" w:color="auto" w:val="clear"/>
            <w:tcMar>
              <w:top w:type="dxa" w:w="90"/>
              <w:left w:type="dxa" w:w="120"/>
              <w:bottom w:type="dxa" w:w="90"/>
              <w:right w:type="dxa" w:w="120"/>
            </w:tcMar>
            <w:vAlign w:val="center"/>
          </w:tcPr>
          <w:p>
            <w:r>
              <w:rPr>
                <w:sz w:val="19"/>
                <w:szCs w:val="19"/>
              </w:rPr>
              <w:t xml:space="preserve">Agent core</w:t>
            </w:r>
          </w:p>
        </w:tc>
        <w:tc>
          <w:tcPr>
            <w:tcW w:type="dxa" w:w="4560"/>
            <w:shd w:fill="FFFFFF" w:color="auto" w:val="clear"/>
            <w:tcMar>
              <w:top w:type="dxa" w:w="90"/>
              <w:left w:type="dxa" w:w="120"/>
              <w:bottom w:type="dxa" w:w="90"/>
              <w:right w:type="dxa" w:w="120"/>
            </w:tcMar>
            <w:vAlign w:val="center"/>
          </w:tcPr>
          <w:p>
            <w:r>
              <w:rPr>
                <w:sz w:val="19"/>
                <w:szCs w:val="19"/>
              </w:rPr>
              <w:t xml:space="preserve">ReAct agent with retrieval and correlation tools, basic memory</w:t>
            </w:r>
          </w:p>
        </w:tc>
      </w:tr>
      <w:tr>
        <w:tc>
          <w:tcPr>
            <w:tcW w:type="dxa" w:w="1200"/>
            <w:shd w:fill="F4FBFB" w:color="auto" w:val="clear"/>
            <w:tcMar>
              <w:top w:type="dxa" w:w="90"/>
              <w:left w:type="dxa" w:w="120"/>
              <w:bottom w:type="dxa" w:w="90"/>
              <w:right w:type="dxa" w:w="120"/>
            </w:tcMar>
            <w:vAlign w:val="center"/>
          </w:tcPr>
          <w:p>
            <w:r>
              <w:rPr>
                <w:sz w:val="19"/>
                <w:szCs w:val="19"/>
              </w:rPr>
              <w:t xml:space="preserve">4</w:t>
            </w:r>
          </w:p>
        </w:tc>
        <w:tc>
          <w:tcPr>
            <w:tcW w:type="dxa" w:w="3600"/>
            <w:shd w:fill="F4FBFB" w:color="auto" w:val="clear"/>
            <w:tcMar>
              <w:top w:type="dxa" w:w="90"/>
              <w:left w:type="dxa" w:w="120"/>
              <w:bottom w:type="dxa" w:w="90"/>
              <w:right w:type="dxa" w:w="120"/>
            </w:tcMar>
            <w:vAlign w:val="center"/>
          </w:tcPr>
          <w:p>
            <w:r>
              <w:rPr>
                <w:sz w:val="19"/>
                <w:szCs w:val="19"/>
              </w:rPr>
              <w:t xml:space="preserve">Clarification and structured input</w:t>
            </w:r>
          </w:p>
        </w:tc>
        <w:tc>
          <w:tcPr>
            <w:tcW w:type="dxa" w:w="4560"/>
            <w:shd w:fill="F4FBFB" w:color="auto" w:val="clear"/>
            <w:tcMar>
              <w:top w:type="dxa" w:w="90"/>
              <w:left w:type="dxa" w:w="120"/>
              <w:bottom w:type="dxa" w:w="90"/>
              <w:right w:type="dxa" w:w="120"/>
            </w:tcMar>
            <w:vAlign w:val="center"/>
          </w:tcPr>
          <w:p>
            <w:r>
              <w:rPr>
                <w:sz w:val="19"/>
                <w:szCs w:val="19"/>
              </w:rPr>
              <w:t xml:space="preserve">Multi-turn clarification node, JSON input support</w:t>
            </w:r>
          </w:p>
        </w:tc>
      </w:tr>
      <w:tr>
        <w:tc>
          <w:tcPr>
            <w:tcW w:type="dxa" w:w="1200"/>
            <w:shd w:fill="FFFFFF" w:color="auto" w:val="clear"/>
            <w:tcMar>
              <w:top w:type="dxa" w:w="90"/>
              <w:left w:type="dxa" w:w="120"/>
              <w:bottom w:type="dxa" w:w="90"/>
              <w:right w:type="dxa" w:w="120"/>
            </w:tcMar>
            <w:vAlign w:val="center"/>
          </w:tcPr>
          <w:p>
            <w:r>
              <w:rPr>
                <w:sz w:val="19"/>
                <w:szCs w:val="19"/>
              </w:rPr>
              <w:t xml:space="preserve">5</w:t>
            </w:r>
          </w:p>
        </w:tc>
        <w:tc>
          <w:tcPr>
            <w:tcW w:type="dxa" w:w="3600"/>
            <w:shd w:fill="FFFFFF" w:color="auto" w:val="clear"/>
            <w:tcMar>
              <w:top w:type="dxa" w:w="90"/>
              <w:left w:type="dxa" w:w="120"/>
              <w:bottom w:type="dxa" w:w="90"/>
              <w:right w:type="dxa" w:w="120"/>
            </w:tcMar>
            <w:vAlign w:val="center"/>
          </w:tcPr>
          <w:p>
            <w:r>
              <w:rPr>
                <w:sz w:val="19"/>
                <w:szCs w:val="19"/>
              </w:rPr>
              <w:t xml:space="preserve">Causal Consistency Checker</w:t>
            </w:r>
          </w:p>
        </w:tc>
        <w:tc>
          <w:tcPr>
            <w:tcW w:type="dxa" w:w="4560"/>
            <w:shd w:fill="FFFFFF" w:color="auto" w:val="clear"/>
            <w:tcMar>
              <w:top w:type="dxa" w:w="90"/>
              <w:left w:type="dxa" w:w="120"/>
              <w:bottom w:type="dxa" w:w="90"/>
              <w:right w:type="dxa" w:w="120"/>
            </w:tcMar>
            <w:vAlign w:val="center"/>
          </w:tcPr>
          <w:p>
            <w:r>
              <w:rPr>
                <w:sz w:val="19"/>
                <w:szCs w:val="19"/>
              </w:rPr>
              <w:t xml:space="preserve">Claim extraction and validation logic integrated into the pipeline</w:t>
            </w:r>
          </w:p>
        </w:tc>
      </w:tr>
      <w:tr>
        <w:tc>
          <w:tcPr>
            <w:tcW w:type="dxa" w:w="1200"/>
            <w:shd w:fill="F4FBFB" w:color="auto" w:val="clear"/>
            <w:tcMar>
              <w:top w:type="dxa" w:w="90"/>
              <w:left w:type="dxa" w:w="120"/>
              <w:bottom w:type="dxa" w:w="90"/>
              <w:right w:type="dxa" w:w="120"/>
            </w:tcMar>
            <w:vAlign w:val="center"/>
          </w:tcPr>
          <w:p>
            <w:r>
              <w:rPr>
                <w:sz w:val="19"/>
                <w:szCs w:val="19"/>
              </w:rPr>
              <w:t xml:space="preserve">6</w:t>
            </w:r>
          </w:p>
        </w:tc>
        <w:tc>
          <w:tcPr>
            <w:tcW w:type="dxa" w:w="3600"/>
            <w:shd w:fill="F4FBFB" w:color="auto" w:val="clear"/>
            <w:tcMar>
              <w:top w:type="dxa" w:w="90"/>
              <w:left w:type="dxa" w:w="120"/>
              <w:bottom w:type="dxa" w:w="90"/>
              <w:right w:type="dxa" w:w="120"/>
            </w:tcMar>
            <w:vAlign w:val="center"/>
          </w:tcPr>
          <w:p>
            <w:r>
              <w:rPr>
                <w:sz w:val="19"/>
                <w:szCs w:val="19"/>
              </w:rPr>
              <w:t xml:space="preserve">Evaluation and packaging</w:t>
            </w:r>
          </w:p>
        </w:tc>
        <w:tc>
          <w:tcPr>
            <w:tcW w:type="dxa" w:w="4560"/>
            <w:shd w:fill="F4FBFB" w:color="auto" w:val="clear"/>
            <w:tcMar>
              <w:top w:type="dxa" w:w="90"/>
              <w:left w:type="dxa" w:w="120"/>
              <w:bottom w:type="dxa" w:w="90"/>
              <w:right w:type="dxa" w:w="120"/>
            </w:tcMar>
            <w:vAlign w:val="center"/>
          </w:tcPr>
          <w:p>
            <w:r>
              <w:rPr>
                <w:sz w:val="19"/>
                <w:szCs w:val="19"/>
              </w:rPr>
              <w:t xml:space="preserve">Test-set results, README, repository, and submission document</w:t>
            </w:r>
          </w:p>
        </w:tc>
      </w:tr>
    </w:tbl>
    <w:p>
      <w:pPr>
        <w:spacing w:after="200"/>
      </w:pPr>
    </w:p>
    <w:p>
      <w:pPr>
        <w:pStyle w:val="Heading1"/>
        <w:spacing w:after="160" w:before="320"/>
      </w:pPr>
      <w:r>
        <w:t xml:space="preserve">12. Risks and Honest Scope</w:t>
      </w:r>
    </w:p>
    <w:tbl>
      <w:tblPr>
        <w:tblW w:type="dxa" w:w="9360"/>
        <w:tblBorders>
          <w:top w:val="single" w:color="2CA6A4" w:sz="8"/>
          <w:left w:val="single" w:color="2CA6A4" w:sz="8"/>
          <w:bottom w:val="single" w:color="2CA6A4" w:sz="8"/>
          <w:right w:val="single" w:color="2CA6A4" w:sz="8"/>
          <w:insideH w:val="single" w:color="auto" w:sz="4"/>
          <w:insideV w:val="single" w:color="auto" w:sz="4"/>
        </w:tblBorders>
      </w:tblPr>
      <w:tblGrid>
        <w:gridCol w:w="9360"/>
      </w:tblGrid>
      <w:tr>
        <w:tc>
          <w:tcPr>
            <w:tcW w:type="dxa" w:w="9360"/>
            <w:shd w:fill="E3F5F4" w:color="auto" w:val="clear"/>
            <w:tcMar>
              <w:top w:type="dxa" w:w="160"/>
              <w:left w:type="dxa" w:w="220"/>
              <w:bottom w:type="dxa" w:w="160"/>
              <w:right w:type="dxa" w:w="220"/>
            </w:tcMar>
          </w:tcPr>
          <w:p>
            <w:pPr>
              <w:spacing w:after="80"/>
            </w:pPr>
            <w:r>
              <w:rPr>
                <w:b/>
                <w:bCs/>
                <w:color w:val="1B6E6C"/>
                <w:sz w:val="21"/>
                <w:szCs w:val="21"/>
              </w:rPr>
              <w:t xml:space="preserve">Risk: causal map coverage is incomplete</w:t>
            </w:r>
          </w:p>
          <w:p>
            <w:pPr>
              <w:spacing w:after="0"/>
            </w:pPr>
            <w:r>
              <w:rPr>
                <w:color w:val="1A1A1A"/>
                <w:sz w:val="21"/>
                <w:szCs w:val="21"/>
              </w:rPr>
              <w:t xml:space="preserve">A hand-built graph of 30 to 60 nodes cannot cover every possible interaction the evaluators might test. Mitigation: scope the map to the five required domains and the challenge's own example use case, and be explicit in the submission about what is and is not covered.</w:t>
            </w:r>
          </w:p>
        </w:tc>
      </w:tr>
    </w:tbl>
    <w:tbl>
      <w:tblPr>
        <w:tblW w:type="dxa" w:w="9360"/>
        <w:tblBorders>
          <w:top w:val="single" w:color="2CA6A4" w:sz="8"/>
          <w:left w:val="single" w:color="2CA6A4" w:sz="8"/>
          <w:bottom w:val="single" w:color="2CA6A4" w:sz="8"/>
          <w:right w:val="single" w:color="2CA6A4" w:sz="8"/>
          <w:insideH w:val="single" w:color="auto" w:sz="4"/>
          <w:insideV w:val="single" w:color="auto" w:sz="4"/>
        </w:tblBorders>
      </w:tblPr>
      <w:tblGrid>
        <w:gridCol w:w="9360"/>
      </w:tblGrid>
      <w:tr>
        <w:tc>
          <w:tcPr>
            <w:tcW w:type="dxa" w:w="9360"/>
            <w:shd w:fill="E3F5F4" w:color="auto" w:val="clear"/>
            <w:tcMar>
              <w:top w:type="dxa" w:w="160"/>
              <w:left w:type="dxa" w:w="220"/>
              <w:bottom w:type="dxa" w:w="160"/>
              <w:right w:type="dxa" w:w="220"/>
            </w:tcMar>
          </w:tcPr>
          <w:p>
            <w:pPr>
              <w:spacing w:after="80"/>
            </w:pPr>
            <w:r>
              <w:rPr>
                <w:b/>
                <w:bCs/>
                <w:color w:val="1B6E6C"/>
                <w:sz w:val="21"/>
                <w:szCs w:val="21"/>
              </w:rPr>
              <w:t xml:space="preserve">Risk: claim extraction misses the model's actual reasoning</w:t>
            </w:r>
          </w:p>
          <w:p>
            <w:pPr>
              <w:spacing w:after="0"/>
            </w:pPr>
            <w:r>
              <w:rPr>
                <w:color w:val="1A1A1A"/>
                <w:sz w:val="21"/>
                <w:szCs w:val="21"/>
              </w:rPr>
              <w:t xml:space="preserve">If the extraction step cannot reliably turn a free-text recommendation into a checkable path, the checker has nothing to validate. Mitigation: constrain the recommendation generator to produce a structured intermediate form before it produces prose, rather than trying to parse prose after the fact.</w:t>
            </w:r>
          </w:p>
        </w:tc>
      </w:tr>
    </w:tbl>
    <w:tbl>
      <w:tblPr>
        <w:tblW w:type="dxa" w:w="9360"/>
        <w:tblBorders>
          <w:top w:val="single" w:color="2CA6A4" w:sz="8"/>
          <w:left w:val="single" w:color="2CA6A4" w:sz="8"/>
          <w:bottom w:val="single" w:color="2CA6A4" w:sz="8"/>
          <w:right w:val="single" w:color="2CA6A4" w:sz="8"/>
          <w:insideH w:val="single" w:color="auto" w:sz="4"/>
          <w:insideV w:val="single" w:color="auto" w:sz="4"/>
        </w:tblBorders>
      </w:tblPr>
      <w:tblGrid>
        <w:gridCol w:w="9360"/>
      </w:tblGrid>
      <w:tr>
        <w:tc>
          <w:tcPr>
            <w:tcW w:type="dxa" w:w="9360"/>
            <w:shd w:fill="E3F5F4" w:color="auto" w:val="clear"/>
            <w:tcMar>
              <w:top w:type="dxa" w:w="160"/>
              <w:left w:type="dxa" w:w="220"/>
              <w:bottom w:type="dxa" w:w="160"/>
              <w:right w:type="dxa" w:w="220"/>
            </w:tcMar>
          </w:tcPr>
          <w:p>
            <w:pPr>
              <w:spacing w:after="80"/>
            </w:pPr>
            <w:r>
              <w:rPr>
                <w:b/>
                <w:bCs/>
                <w:color w:val="1B6E6C"/>
                <w:sz w:val="21"/>
                <w:szCs w:val="21"/>
              </w:rPr>
              <w:t xml:space="preserve">Risk: overclaiming the contribution</w:t>
            </w:r>
          </w:p>
          <w:p>
            <w:pPr>
              <w:spacing w:after="0"/>
            </w:pPr>
            <w:r>
              <w:rPr>
                <w:color w:val="1A1A1A"/>
                <w:sz w:val="21"/>
                <w:szCs w:val="21"/>
              </w:rPr>
              <w:t xml:space="preserve">This project validates claims against an expert-curated map; it does not discover causal structure from data. Mitigation: describe it in the submission exactly that way, as this blueprint does, rather than as a causal-discovery system.</w:t>
            </w:r>
          </w:p>
        </w:tc>
      </w:tr>
    </w:tbl>
    <w:p>
      <w:pPr>
        <w:pStyle w:val="Heading1"/>
        <w:spacing w:after="160" w:before="320"/>
      </w:pPr>
      <w:r>
        <w:t xml:space="preserve">13. Expected Outcomes: MVP vs. Advanced Version</w:t>
      </w:r>
    </w:p>
    <w:p>
      <w:pPr>
        <w:pStyle w:val="Heading3"/>
        <w:spacing w:after="160" w:before="320"/>
      </w:pPr>
      <w:r>
        <w:t xml:space="preserve">13.1 Minimum viable prototype</w:t>
      </w:r>
    </w:p>
    <w:p>
      <w:pPr>
        <w:spacing w:after="180" w:line="300"/>
      </w:pPr>
      <w:r>
        <w:rPr>
          <w:sz w:val="22"/>
          <w:szCs w:val="22"/>
        </w:rPr>
        <w:t xml:space="preserve">A working agent covering all six mandatory challenge requirements, with the Causal Consistency Checker implemented as a single validation node using a hand-built graph stored in a simple in-memory structure, evaluated on the 30-scenario test set.</w:t>
      </w:r>
    </w:p>
    <w:p>
      <w:pPr>
        <w:pStyle w:val="Heading3"/>
        <w:spacing w:after="160" w:before="320"/>
      </w:pPr>
      <w:r>
        <w:t xml:space="preserve">13.2 Advanced version</w:t>
      </w:r>
    </w:p>
    <w:p>
      <w:pPr>
        <w:spacing w:after="180" w:line="300"/>
      </w:pPr>
      <w:r>
        <w:rPr>
          <w:sz w:val="22"/>
          <w:szCs w:val="22"/>
        </w:rPr>
        <w:t xml:space="preserve">Edges in the causal map weighted by effect size or confidence drawn from the source studies, surfaced directly as the confidence level field the challenge output format already asks for, so the research contribution and the rubric requirement reinforce rather than compete with each other.</w:t>
      </w:r>
    </w:p>
    <w:p>
      <w:r>
        <w:br w:type="page"/>
      </w:r>
    </w:p>
    <w:p>
      <w:pPr>
        <w:pStyle w:val="Heading1"/>
        <w:spacing w:after="160" w:before="320"/>
      </w:pPr>
      <w:r>
        <w:t xml:space="preserve">14. Glossary</w:t>
      </w:r>
    </w:p>
    <w:tbl>
      <w:tblPr>
        <w:tblW w:type="dxa" w:w="9360"/>
        <w:tblBorders>
          <w:top w:val="single" w:color="BFBFBF" w:sz="4"/>
          <w:left w:val="single" w:color="BFBFBF" w:sz="4"/>
          <w:bottom w:val="single" w:color="BFBFBF" w:sz="4"/>
          <w:right w:val="single" w:color="BFBFBF" w:sz="4"/>
          <w:insideH w:val="single" w:color="D9D9D9" w:sz="4"/>
          <w:insideV w:val="single" w:color="D9D9D9" w:sz="4"/>
        </w:tblBorders>
      </w:tblPr>
      <w:tblGrid>
        <w:gridCol w:w="2400"/>
        <w:gridCol w:w="6960"/>
      </w:tblGrid>
      <w:tr>
        <w:trPr>
          <w:tblHeader/>
        </w:trPr>
        <w:tc>
          <w:tcPr>
            <w:tcW w:type="dxa" w:w="2400"/>
            <w:shd w:fill="1B6E6C" w:color="auto" w:val="clear"/>
            <w:tcMar>
              <w:top w:type="dxa" w:w="100"/>
              <w:left w:type="dxa" w:w="120"/>
              <w:bottom w:type="dxa" w:w="100"/>
              <w:right w:type="dxa" w:w="120"/>
            </w:tcMar>
            <w:vAlign w:val="center"/>
          </w:tcPr>
          <w:p>
            <w:r>
              <w:rPr>
                <w:b/>
                <w:bCs/>
                <w:color w:val="FFFFFF"/>
                <w:sz w:val="19"/>
                <w:szCs w:val="19"/>
              </w:rPr>
              <w:t xml:space="preserve">Term</w:t>
            </w:r>
          </w:p>
        </w:tc>
        <w:tc>
          <w:tcPr>
            <w:tcW w:type="dxa" w:w="6960"/>
            <w:shd w:fill="1B6E6C" w:color="auto" w:val="clear"/>
            <w:tcMar>
              <w:top w:type="dxa" w:w="100"/>
              <w:left w:type="dxa" w:w="120"/>
              <w:bottom w:type="dxa" w:w="100"/>
              <w:right w:type="dxa" w:w="120"/>
            </w:tcMar>
            <w:vAlign w:val="center"/>
          </w:tcPr>
          <w:p>
            <w:r>
              <w:rPr>
                <w:b/>
                <w:bCs/>
                <w:color w:val="FFFFFF"/>
                <w:sz w:val="19"/>
                <w:szCs w:val="19"/>
              </w:rPr>
              <w:t xml:space="preserve">Meaning</w:t>
            </w:r>
          </w:p>
        </w:tc>
      </w:tr>
      <w:tr>
        <w:tc>
          <w:tcPr>
            <w:tcW w:type="dxa" w:w="2400"/>
            <w:shd w:fill="FFFFFF" w:color="auto" w:val="clear"/>
            <w:tcMar>
              <w:top w:type="dxa" w:w="90"/>
              <w:left w:type="dxa" w:w="120"/>
              <w:bottom w:type="dxa" w:w="90"/>
              <w:right w:type="dxa" w:w="120"/>
            </w:tcMar>
            <w:vAlign w:val="center"/>
          </w:tcPr>
          <w:p>
            <w:r>
              <w:rPr>
                <w:sz w:val="19"/>
                <w:szCs w:val="19"/>
              </w:rPr>
              <w:t xml:space="preserve">RAG</w:t>
            </w:r>
          </w:p>
        </w:tc>
        <w:tc>
          <w:tcPr>
            <w:tcW w:type="dxa" w:w="6960"/>
            <w:shd w:fill="FFFFFF" w:color="auto" w:val="clear"/>
            <w:tcMar>
              <w:top w:type="dxa" w:w="90"/>
              <w:left w:type="dxa" w:w="120"/>
              <w:bottom w:type="dxa" w:w="90"/>
              <w:right w:type="dxa" w:w="120"/>
            </w:tcMar>
            <w:vAlign w:val="center"/>
          </w:tcPr>
          <w:p>
            <w:r>
              <w:rPr>
                <w:sz w:val="19"/>
                <w:szCs w:val="19"/>
              </w:rPr>
              <w:t xml:space="preserve">Retrieval-Augmented Generation: answering by first retrieving relevant text from a knowledge base, then generating a response grounded in it</w:t>
            </w:r>
          </w:p>
        </w:tc>
      </w:tr>
      <w:tr>
        <w:tc>
          <w:tcPr>
            <w:tcW w:type="dxa" w:w="2400"/>
            <w:shd w:fill="F4FBFB" w:color="auto" w:val="clear"/>
            <w:tcMar>
              <w:top w:type="dxa" w:w="90"/>
              <w:left w:type="dxa" w:w="120"/>
              <w:bottom w:type="dxa" w:w="90"/>
              <w:right w:type="dxa" w:w="120"/>
            </w:tcMar>
            <w:vAlign w:val="center"/>
          </w:tcPr>
          <w:p>
            <w:r>
              <w:rPr>
                <w:sz w:val="19"/>
                <w:szCs w:val="19"/>
              </w:rPr>
              <w:t xml:space="preserve">ReAct agent</w:t>
            </w:r>
          </w:p>
        </w:tc>
        <w:tc>
          <w:tcPr>
            <w:tcW w:type="dxa" w:w="6960"/>
            <w:shd w:fill="F4FBFB" w:color="auto" w:val="clear"/>
            <w:tcMar>
              <w:top w:type="dxa" w:w="90"/>
              <w:left w:type="dxa" w:w="120"/>
              <w:bottom w:type="dxa" w:w="90"/>
              <w:right w:type="dxa" w:w="120"/>
            </w:tcMar>
            <w:vAlign w:val="center"/>
          </w:tcPr>
          <w:p>
            <w:r>
              <w:rPr>
                <w:sz w:val="19"/>
                <w:szCs w:val="19"/>
              </w:rPr>
              <w:t xml:space="preserve">An agent architecture that interleaves reasoning steps with tool calls, such as searching a database, before producing a final answer</w:t>
            </w:r>
          </w:p>
        </w:tc>
      </w:tr>
      <w:tr>
        <w:tc>
          <w:tcPr>
            <w:tcW w:type="dxa" w:w="2400"/>
            <w:shd w:fill="FFFFFF" w:color="auto" w:val="clear"/>
            <w:tcMar>
              <w:top w:type="dxa" w:w="90"/>
              <w:left w:type="dxa" w:w="120"/>
              <w:bottom w:type="dxa" w:w="90"/>
              <w:right w:type="dxa" w:w="120"/>
            </w:tcMar>
            <w:vAlign w:val="center"/>
          </w:tcPr>
          <w:p>
            <w:r>
              <w:rPr>
                <w:sz w:val="19"/>
                <w:szCs w:val="19"/>
              </w:rPr>
              <w:t xml:space="preserve">Causal graph / causal map</w:t>
            </w:r>
          </w:p>
        </w:tc>
        <w:tc>
          <w:tcPr>
            <w:tcW w:type="dxa" w:w="6960"/>
            <w:shd w:fill="FFFFFF" w:color="auto" w:val="clear"/>
            <w:tcMar>
              <w:top w:type="dxa" w:w="90"/>
              <w:left w:type="dxa" w:w="120"/>
              <w:bottom w:type="dxa" w:w="90"/>
              <w:right w:type="dxa" w:w="120"/>
            </w:tcMar>
            <w:vAlign w:val="center"/>
          </w:tcPr>
          <w:p>
            <w:r>
              <w:rPr>
                <w:sz w:val="19"/>
                <w:szCs w:val="19"/>
              </w:rPr>
              <w:t xml:space="preserve">A directed graph where nodes are variables and edges represent a documented, directional cause-and-effect relationship</w:t>
            </w:r>
          </w:p>
        </w:tc>
      </w:tr>
      <w:tr>
        <w:tc>
          <w:tcPr>
            <w:tcW w:type="dxa" w:w="2400"/>
            <w:shd w:fill="F4FBFB" w:color="auto" w:val="clear"/>
            <w:tcMar>
              <w:top w:type="dxa" w:w="90"/>
              <w:left w:type="dxa" w:w="120"/>
              <w:bottom w:type="dxa" w:w="90"/>
              <w:right w:type="dxa" w:w="120"/>
            </w:tcMar>
            <w:vAlign w:val="center"/>
          </w:tcPr>
          <w:p>
            <w:r>
              <w:rPr>
                <w:sz w:val="19"/>
                <w:szCs w:val="19"/>
              </w:rPr>
              <w:t xml:space="preserve">Causal parrot</w:t>
            </w:r>
          </w:p>
        </w:tc>
        <w:tc>
          <w:tcPr>
            <w:tcW w:type="dxa" w:w="6960"/>
            <w:shd w:fill="F4FBFB" w:color="auto" w:val="clear"/>
            <w:tcMar>
              <w:top w:type="dxa" w:w="90"/>
              <w:left w:type="dxa" w:w="120"/>
              <w:bottom w:type="dxa" w:w="90"/>
              <w:right w:type="dxa" w:w="120"/>
            </w:tcMar>
            <w:vAlign w:val="center"/>
          </w:tcPr>
          <w:p>
            <w:r>
              <w:rPr>
                <w:sz w:val="19"/>
                <w:szCs w:val="19"/>
              </w:rPr>
              <w:t xml:space="preserve">A term describing a language model that repeats causal-sounding statements from training data without performing genuine causal inference</w:t>
            </w:r>
          </w:p>
        </w:tc>
      </w:tr>
      <w:tr>
        <w:tc>
          <w:tcPr>
            <w:tcW w:type="dxa" w:w="2400"/>
            <w:shd w:fill="FFFFFF" w:color="auto" w:val="clear"/>
            <w:tcMar>
              <w:top w:type="dxa" w:w="90"/>
              <w:left w:type="dxa" w:w="120"/>
              <w:bottom w:type="dxa" w:w="90"/>
              <w:right w:type="dxa" w:w="120"/>
            </w:tcMar>
            <w:vAlign w:val="center"/>
          </w:tcPr>
          <w:p>
            <w:r>
              <w:rPr>
                <w:sz w:val="19"/>
                <w:szCs w:val="19"/>
              </w:rPr>
              <w:t xml:space="preserve">Grounding</w:t>
            </w:r>
          </w:p>
        </w:tc>
        <w:tc>
          <w:tcPr>
            <w:tcW w:type="dxa" w:w="6960"/>
            <w:shd w:fill="FFFFFF" w:color="auto" w:val="clear"/>
            <w:tcMar>
              <w:top w:type="dxa" w:w="90"/>
              <w:left w:type="dxa" w:w="120"/>
              <w:bottom w:type="dxa" w:w="90"/>
              <w:right w:type="dxa" w:w="120"/>
            </w:tcMar>
            <w:vAlign w:val="center"/>
          </w:tcPr>
          <w:p>
            <w:r>
              <w:rPr>
                <w:sz w:val="19"/>
                <w:szCs w:val="19"/>
              </w:rPr>
              <w:t xml:space="preserve">Tying a model's output back to a verifiable source, so a claim can be traced to where it came from</w:t>
            </w:r>
          </w:p>
        </w:tc>
      </w:tr>
      <w:tr>
        <w:tc>
          <w:tcPr>
            <w:tcW w:type="dxa" w:w="2400"/>
            <w:shd w:fill="F4FBFB" w:color="auto" w:val="clear"/>
            <w:tcMar>
              <w:top w:type="dxa" w:w="90"/>
              <w:left w:type="dxa" w:w="120"/>
              <w:bottom w:type="dxa" w:w="90"/>
              <w:right w:type="dxa" w:w="120"/>
            </w:tcMar>
            <w:vAlign w:val="center"/>
          </w:tcPr>
          <w:p>
            <w:r>
              <w:rPr>
                <w:sz w:val="19"/>
                <w:szCs w:val="19"/>
              </w:rPr>
              <w:t xml:space="preserve">Multi-metric reasoning</w:t>
            </w:r>
          </w:p>
        </w:tc>
        <w:tc>
          <w:tcPr>
            <w:tcW w:type="dxa" w:w="6960"/>
            <w:shd w:fill="F4FBFB" w:color="auto" w:val="clear"/>
            <w:tcMar>
              <w:top w:type="dxa" w:w="90"/>
              <w:left w:type="dxa" w:w="120"/>
              <w:bottom w:type="dxa" w:w="90"/>
              <w:right w:type="dxa" w:w="120"/>
            </w:tcMar>
            <w:vAlign w:val="center"/>
          </w:tcPr>
          <w:p>
            <w:r>
              <w:rPr>
                <w:sz w:val="19"/>
                <w:szCs w:val="19"/>
              </w:rPr>
              <w:t xml:space="preserve">Reasoning that connects two or more measured variables together, rather than treating each in isolation</w:t>
            </w:r>
          </w:p>
        </w:tc>
      </w:tr>
      <w:tr>
        <w:tc>
          <w:tcPr>
            <w:tcW w:type="dxa" w:w="2400"/>
            <w:shd w:fill="FFFFFF" w:color="auto" w:val="clear"/>
            <w:tcMar>
              <w:top w:type="dxa" w:w="90"/>
              <w:left w:type="dxa" w:w="120"/>
              <w:bottom w:type="dxa" w:w="90"/>
              <w:right w:type="dxa" w:w="120"/>
            </w:tcMar>
            <w:vAlign w:val="center"/>
          </w:tcPr>
          <w:p>
            <w:r>
              <w:rPr>
                <w:sz w:val="19"/>
                <w:szCs w:val="19"/>
              </w:rPr>
              <w:t xml:space="preserve">Structured extraction</w:t>
            </w:r>
          </w:p>
        </w:tc>
        <w:tc>
          <w:tcPr>
            <w:tcW w:type="dxa" w:w="6960"/>
            <w:shd w:fill="FFFFFF" w:color="auto" w:val="clear"/>
            <w:tcMar>
              <w:top w:type="dxa" w:w="90"/>
              <w:left w:type="dxa" w:w="120"/>
              <w:bottom w:type="dxa" w:w="90"/>
              <w:right w:type="dxa" w:w="120"/>
            </w:tcMar>
            <w:vAlign w:val="center"/>
          </w:tcPr>
          <w:p>
            <w:r>
              <w:rPr>
                <w:sz w:val="19"/>
                <w:szCs w:val="19"/>
              </w:rPr>
              <w:t xml:space="preserve">Converting free-text model output into a fixed, machine-checkable format, such as a list of variables and relationships</w:t>
            </w:r>
          </w:p>
        </w:tc>
      </w:tr>
      <w:tr>
        <w:tc>
          <w:tcPr>
            <w:tcW w:type="dxa" w:w="2400"/>
            <w:shd w:fill="F4FBFB" w:color="auto" w:val="clear"/>
            <w:tcMar>
              <w:top w:type="dxa" w:w="90"/>
              <w:left w:type="dxa" w:w="120"/>
              <w:bottom w:type="dxa" w:w="90"/>
              <w:right w:type="dxa" w:w="120"/>
            </w:tcMar>
            <w:vAlign w:val="center"/>
          </w:tcPr>
          <w:p>
            <w:r>
              <w:rPr>
                <w:sz w:val="19"/>
                <w:szCs w:val="19"/>
              </w:rPr>
              <w:t xml:space="preserve">Confidence level</w:t>
            </w:r>
          </w:p>
        </w:tc>
        <w:tc>
          <w:tcPr>
            <w:tcW w:type="dxa" w:w="6960"/>
            <w:shd w:fill="F4FBFB" w:color="auto" w:val="clear"/>
            <w:tcMar>
              <w:top w:type="dxa" w:w="90"/>
              <w:left w:type="dxa" w:w="120"/>
              <w:bottom w:type="dxa" w:w="90"/>
              <w:right w:type="dxa" w:w="120"/>
            </w:tcMar>
            <w:vAlign w:val="center"/>
          </w:tcPr>
          <w:p>
            <w:r>
              <w:rPr>
                <w:sz w:val="19"/>
                <w:szCs w:val="19"/>
              </w:rPr>
              <w:t xml:space="preserve">A stated degree of certainty attached to a recommendation, ideally tied to the strength of the underlying evidence</w:t>
            </w:r>
          </w:p>
        </w:tc>
      </w:tr>
    </w:tbl>
    <w:p>
      <w:pPr>
        <w:spacing w:after="200"/>
      </w:pPr>
    </w:p>
    <w:p>
      <w:pPr>
        <w:pStyle w:val="Heading1"/>
        <w:spacing w:after="160" w:before="320"/>
      </w:pPr>
      <w:r>
        <w:t xml:space="preserve">15. References</w:t>
      </w:r>
    </w:p>
    <w:p>
      <w:pPr>
        <w:spacing w:after="140"/>
      </w:pPr>
      <w:r>
        <w:rPr>
          <w:sz w:val="22"/>
          <w:szCs w:val="22"/>
        </w:rPr>
        <w:t xml:space="preserve">Zecevic, M., Willig, M., Dhami, D. S., and Kersting, K. (2023). Causal Parrots: Large Language Models May Talk Causality But Are Not Causal. arXiv:2308.13067.</w:t>
      </w:r>
    </w:p>
    <w:p>
      <w:pPr>
        <w:spacing w:after="140"/>
      </w:pPr>
      <w:r>
        <w:rPr>
          <w:sz w:val="22"/>
          <w:szCs w:val="22"/>
        </w:rPr>
        <w:t xml:space="preserve">Wu, Z. et al. (2025). LLMs should be restricted to non-decisional support roles in causal discovery. As discussed in "Why LLMs Fail at Causal Discovery and How Interventional Agents Escape," arXiv:2605.27567.</w:t>
      </w:r>
    </w:p>
    <w:p>
      <w:pPr>
        <w:spacing w:after="140"/>
      </w:pPr>
      <w:r>
        <w:rPr>
          <w:sz w:val="22"/>
          <w:szCs w:val="22"/>
        </w:rPr>
        <w:t xml:space="preserve">Agri-SAGE: Simulation-Grounded Multi-Agent LLM for Context-Aware Agricultural Advisory Generation (2026). arXiv:2607.00454.</w:t>
      </w:r>
    </w:p>
    <w:p>
      <w:pPr>
        <w:spacing w:after="140"/>
      </w:pPr>
      <w:r>
        <w:rPr>
          <w:sz w:val="22"/>
          <w:szCs w:val="22"/>
        </w:rPr>
        <w:t xml:space="preserve">AgriGPT: A large language model ecosystem for agriculture (2025). arXiv:2508.08632.</w:t>
      </w:r>
    </w:p>
    <w:p>
      <w:pPr>
        <w:spacing w:after="140"/>
      </w:pPr>
      <w:r>
        <w:rPr>
          <w:sz w:val="22"/>
          <w:szCs w:val="22"/>
        </w:rPr>
        <w:t xml:space="preserve">Agriregion: Region-aware retrieval for high-fidelity agricultural advice (2025). arXiv:2512.10114.</w:t>
      </w:r>
    </w:p>
    <w:p>
      <w:pPr>
        <w:spacing w:after="140"/>
      </w:pPr>
      <w:r>
        <w:rPr>
          <w:sz w:val="22"/>
          <w:szCs w:val="22"/>
        </w:rPr>
        <w:t xml:space="preserve">Food and Agriculture Organization of the United Nations. Global Soil Partnership reports and soil organic carbon guidance.</w:t>
      </w:r>
    </w:p>
    <w:p>
      <w:pPr>
        <w:spacing w:after="140"/>
      </w:pPr>
      <w:r>
        <w:rPr>
          <w:sz w:val="22"/>
          <w:szCs w:val="22"/>
        </w:rPr>
        <w:t xml:space="preserve">Intergovernmental Panel on Climate Change. Assessment Report series, working group contributions on climate and ecosystem impacts.</w:t>
      </w:r>
    </w:p>
    <w:p>
      <w:pPr>
        <w:spacing w:after="140"/>
      </w:pPr>
      <w:r>
        <w:rPr>
          <w:sz w:val="22"/>
          <w:szCs w:val="22"/>
        </w:rPr>
        <w:t xml:space="preserve">Darukaa.Earth. AI Biodiversity Intelligence Chatbot Challenge, hackathon problem statement document.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i/>
        <w:iCs/>
        <w:color w:val="595959"/>
        <w:sz w:val="16"/>
        <w:szCs w:val="16"/>
      </w:rPr>
      <w:t xml:space="preserve">ROOTCAUSE Blueprint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CA6A4" w:sz="8" w:space="4"/>
      </w:pBdr>
      <w:spacing w:after="200" w:before="400"/>
    </w:pPr>
    <w:rPr>
      <w:rFonts w:ascii="Calibri" w:cs="Calibri" w:eastAsia="Calibri" w:hAnsi="Calibri"/>
      <w:b/>
      <w:bCs/>
      <w:color w:val="1B6E6C"/>
      <w:sz w:val="32"/>
      <w:szCs w:val="32"/>
    </w:rPr>
  </w:style>
  <w:style w:type="paragraph" w:styleId="Heading2">
    <w:name w:val="Heading 2"/>
    <w:basedOn w:val="Normal"/>
    <w:next w:val="Normal"/>
    <w:qFormat/>
    <w:pPr>
      <w:spacing w:after="140" w:before="300"/>
    </w:pPr>
    <w:rPr>
      <w:rFonts w:ascii="Calibri" w:cs="Calibri" w:eastAsia="Calibri" w:hAnsi="Calibri"/>
      <w:b/>
      <w:bCs/>
      <w:color w:val="1B6E6C"/>
      <w:sz w:val="26"/>
      <w:szCs w:val="26"/>
    </w:rPr>
  </w:style>
  <w:style w:type="paragraph" w:styleId="Heading3">
    <w:name w:val="Heading 3"/>
    <w:basedOn w:val="Normal"/>
    <w:next w:val="Normal"/>
    <w:qFormat/>
    <w:pPr>
      <w:spacing w:after="100" w:before="220"/>
    </w:pPr>
    <w:rPr>
      <w:rFonts w:ascii="Calibri" w:cs="Calibri" w:eastAsia="Calibri" w:hAnsi="Calibri"/>
      <w:b/>
      <w:bCs/>
      <w:i w:val="false"/>
      <w:iCs w:val="false"/>
      <w:color w:val="333333"/>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2026-09-17T07:59:16.279Z</dcterms:created>
  <dcterms:modified xsi:type="dcterms:W3CDTF">2026-09-17T07:59:16.279Z</dcterms:modified>
</cp:coreProperties>
</file>

<file path=docProps/custom.xml><?xml version="1.0" encoding="utf-8"?>
<Properties xmlns="http://schemas.openxmlformats.org/officeDocument/2006/custom-properties" xmlns:vt="http://schemas.openxmlformats.org/officeDocument/2006/docPropsVTypes"/>
</file>