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Operational Risk Management Policy</w:t>
      </w:r>
    </w:p>
    <w:p>
      <w:r>
        <w:t>Version 4.2 | Issued by Group Risk Management | Meridian Bank (fictional entity)</w:t>
      </w:r>
    </w:p>
    <w:p>
      <w:pPr>
        <w:pStyle w:val="Heading2"/>
      </w:pPr>
      <w:r>
        <w:t>1. Purpose</w:t>
      </w:r>
    </w:p>
    <w:p>
      <w:r>
        <w:t>This policy defines the principles by which operational risk is identified, assessed, mitigated, monitored and reported across Meridian Bank. It applies to all divisions, subsidiaries and third-party service providers acting on the bank's behalf.</w:t>
      </w:r>
    </w:p>
    <w:p>
      <w:pPr>
        <w:pStyle w:val="Heading2"/>
      </w:pPr>
      <w:r>
        <w:t>2. Risk Appetite</w:t>
      </w:r>
    </w:p>
    <w:p>
      <w:r>
        <w:t>Meridian Bank maintains a moderate-to-conservative operational risk appetite. The bank seeks to keep overall exposure within board-approved thresholds and to reduce the frequency and impact of high-severity operational losses over time.</w:t>
      </w:r>
    </w:p>
    <w:p>
      <w:pPr>
        <w:pStyle w:val="Heading2"/>
      </w:pPr>
      <w:r>
        <w:t>3. Governance</w:t>
      </w:r>
    </w:p>
    <w:p>
      <w:r>
        <w:t>The Board Risk Committee sets risk appetite. The Group Risk function owns the operational risk framework, and each division designates a risk owner accountable for maintaining its risk register and control environment.</w:t>
      </w:r>
    </w:p>
    <w:p>
      <w:pPr>
        <w:pStyle w:val="Heading2"/>
      </w:pPr>
      <w:r>
        <w:t>4. Risk Identification and Assessment</w:t>
      </w:r>
    </w:p>
    <w:p>
      <w:r>
        <w:t>Divisions maintain a current risk register covering inherent and residual exposure, likelihood and impact ratings, controls and remediation actions. Risks are reassessed at least annually or when material change occurs.</w:t>
      </w:r>
    </w:p>
    <w:p>
      <w:pPr>
        <w:pStyle w:val="Heading2"/>
      </w:pPr>
      <w:r>
        <w:t>5. Control and Mitigation</w:t>
      </w:r>
    </w:p>
    <w:p>
      <w:r>
        <w:t>Controls must be documented and tested for effectiveness. Where residual risk remains above appetite, compensating controls or an approved exception are required. Exceptions are time-limited and tracked to closure.</w:t>
      </w:r>
    </w:p>
    <w:p>
      <w:pPr>
        <w:pStyle w:val="Heading2"/>
      </w:pPr>
      <w:r>
        <w:t>6. Monitoring and Reporting</w:t>
      </w:r>
    </w:p>
    <w:p>
      <w:r>
        <w:t>Key risk indicators are monitored monthly against thresholds and reported to the Risk Committee. Significant incidents and audit findings are escalated within agreed timelines.</w:t>
      </w:r>
    </w:p>
    <w:p>
      <w:pPr>
        <w:pStyle w:val="Heading2"/>
      </w:pPr>
      <w:r>
        <w:t>7. Review Cycle</w:t>
      </w:r>
    </w:p>
    <w:p>
      <w:r>
        <w:t>This policy is reviewed annually by Group Risk Management and approved by the Board Risk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Risk Management Policy</dc:title>
  <dc:subject/>
  <dc:creator>Meridian Bank Group Risk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