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64"/>
        </w:rPr>
        <w:t>The Family Office</w:t>
        <w:br/>
        <w:t>Approach Playbook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A Practitioner's Guide to Co-Investment with Family Offices</w:t>
      </w:r>
    </w:p>
    <w:p/>
    <w:p>
      <w:pPr>
        <w:jc w:val="center"/>
      </w:pPr>
      <w:r>
        <w:rPr>
          <w:color w:val="2E75B6"/>
          <w:sz w:val="20"/>
        </w:rPr>
        <w:t>____________________________________________________________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Prepared by Falcon Scaling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2E75B6"/>
        </w:rPr>
        <w:t>1.  Chapter 1: How Family Offices Make Co-Investment Decisions</w:t>
      </w:r>
    </w:p>
    <w:p>
      <w:r>
        <w:rPr>
          <w:color w:val="2E75B6"/>
        </w:rPr>
        <w:t>2.  Chapter 2: The 5 Types of FO Co-Investors</w:t>
      </w:r>
    </w:p>
    <w:p>
      <w:r>
        <w:rPr>
          <w:color w:val="2E75B6"/>
        </w:rPr>
        <w:t>3.  Chapter 3: Conference Strategy</w:t>
      </w:r>
    </w:p>
    <w:p>
      <w:r>
        <w:rPr>
          <w:color w:val="2E75B6"/>
        </w:rPr>
        <w:t>4.  Chapter 4: Outreach Templates</w:t>
      </w:r>
    </w:p>
    <w:p>
      <w:r>
        <w:rPr>
          <w:color w:val="2E75B6"/>
        </w:rPr>
        <w:t>5.  Chapter 5: Red Flags That Get You Blacklisted</w:t>
      </w:r>
    </w:p>
    <w:p>
      <w:r>
        <w:rPr>
          <w:color w:val="2E75B6"/>
        </w:rPr>
        <w:t>6.  Chapter 6: Building Long-Term FO Relationships</w:t>
      </w:r>
    </w:p>
    <w:p>
      <w:r>
        <w:rPr>
          <w:color w:val="2E75B6"/>
        </w:rPr>
        <w:t>7.  Regulatory Considerations</w:t>
      </w:r>
    </w:p>
    <w:p>
      <w:r>
        <w:br w:type="page"/>
      </w:r>
    </w:p>
    <w:p>
      <w:pPr>
        <w:pStyle w:val="Heading1"/>
      </w:pPr>
      <w:r>
        <w:t>Chapter 1: How Family Offices Make Co-Investment Decisions</w:t>
      </w:r>
    </w:p>
    <w:p>
      <w:pPr>
        <w:pStyle w:val="Heading2"/>
      </w:pPr>
      <w:r>
        <w:t>The Decision Architecture</w:t>
      </w:r>
    </w:p>
    <w:p>
      <w:r>
        <w:t>Family office co-investment decisions follow a fundamentally different process than institutional LP commitments. Understanding this is the difference between getting a meeting and getting ignored.</w:t>
      </w:r>
    </w:p>
    <w:p>
      <w:r>
        <w:rPr>
          <w:b/>
        </w:rPr>
        <w:t>The 3-Gate Model:</w:t>
      </w:r>
    </w:p>
    <w:p>
      <w:pPr>
        <w:pStyle w:val="ListNumber"/>
      </w:pPr>
      <w:r>
        <w:t>Gate 1 — Trust Filter (Eliminates 80% of inbound): Does the FO know you, or someone who knows you? Cold outreach has a &lt;5% response rate with FOs. Warm introductions pass this gate.</w:t>
      </w:r>
    </w:p>
    <w:p>
      <w:pPr>
        <w:pStyle w:val="ListNumber"/>
      </w:pPr>
      <w:r>
        <w:t>Gate 2 — Thesis Alignment (Eliminates 50% of remaining): Does your deal/fund match their investment thesis? FOs are thesis-driven, not return-driven. A 3x healthcare deal is irrelevant to an FO focused on real estate.</w:t>
      </w:r>
    </w:p>
    <w:p>
      <w:pPr>
        <w:pStyle w:val="ListNumber"/>
      </w:pPr>
      <w:r>
        <w:t>Gate 3 — Principal Conviction (Final filter): Does the principal (family member or CIO) personally believe in this? FOs don't have investment committees in the institutional sense. One person's conviction often drives the decision.</w:t>
      </w:r>
    </w:p>
    <w:p>
      <w:pPr>
        <w:pStyle w:val="Heading2"/>
      </w:pPr>
      <w:r>
        <w:t>SFO vs. MFO Decision Dynamics</w:t>
      </w:r>
    </w:p>
    <w:p>
      <w:r>
        <w:rPr>
          <w:b/>
        </w:rPr>
        <w:t>Single Family Offices:</w:t>
      </w:r>
    </w:p>
    <w:p>
      <w:r>
        <w:t>Decisions are faster (days to weeks), but harder to access. One person often has final say. Relationships are personal — if the principal likes you, deals happen. If they don't, no amount of returns data matters.</w:t>
      </w:r>
    </w:p>
    <w:p>
      <w:r>
        <w:rPr>
          <w:b/>
        </w:rPr>
        <w:t>Multi-Family Offices:</w:t>
      </w:r>
    </w:p>
    <w:p>
      <w:r>
        <w:t>More structured process (similar to institutional), multiple stakeholders, formal due diligence. Slower but more predictable. Access is through the professional staff, not the families directly.</w:t>
      </w:r>
    </w:p>
    <w:p>
      <w:pPr>
        <w:pStyle w:val="Heading2"/>
      </w:pPr>
      <w:r>
        <w:t>What FOs Care About (That Most Fund Managers Miss)</w:t>
      </w:r>
    </w:p>
    <w:p>
      <w:pPr>
        <w:pStyle w:val="ListNumber"/>
      </w:pPr>
      <w:r>
        <w:t>Alignment of interest: Do you have significant personal capital in the deal?</w:t>
      </w:r>
    </w:p>
    <w:p>
      <w:pPr>
        <w:pStyle w:val="ListNumber"/>
      </w:pPr>
      <w:r>
        <w:t>Information flow: Will they get regular, candid updates? Not quarterly reports — real conversations.</w:t>
      </w:r>
    </w:p>
    <w:p>
      <w:pPr>
        <w:pStyle w:val="ListNumber"/>
      </w:pPr>
      <w:r>
        <w:t>Co-investment rights: Can they participate in follow-on rounds or adjacent deals?</w:t>
      </w:r>
    </w:p>
    <w:p>
      <w:pPr>
        <w:pStyle w:val="ListNumber"/>
      </w:pPr>
      <w:r>
        <w:t>Reputation risk: Will this deal embarrass the family? FOs are ultra-conservative about public perception.</w:t>
      </w:r>
    </w:p>
    <w:p>
      <w:pPr>
        <w:pStyle w:val="ListNumber"/>
      </w:pPr>
      <w:r>
        <w:t>Exit timeline: Most FOs think in decades, not fund cycles. Multi-generational time horizons.</w:t>
      </w:r>
    </w:p>
    <w:p>
      <w:r>
        <w:br w:type="page"/>
      </w:r>
    </w:p>
    <w:p>
      <w:pPr>
        <w:pStyle w:val="Heading1"/>
      </w:pPr>
      <w:r>
        <w:t>Chapter 2: The 5 Types of FO Co-Investors</w:t>
      </w:r>
    </w:p>
    <w:p>
      <w:pPr>
        <w:pStyle w:val="Heading2"/>
      </w:pPr>
      <w:r>
        <w:t>Type 1: The Active Allocator (Co-Invest Score 8-10)</w:t>
      </w:r>
    </w:p>
    <w:p>
      <w:r>
        <w:t>Profile: Dedicated investment team, regular deal flow review, systematic process.</w:t>
      </w:r>
    </w:p>
    <w:p>
      <w:r>
        <w:rPr>
          <w:i/>
          <w:color w:val="666666"/>
        </w:rPr>
        <w:t>Examples: Iconiq Capital, Bessemer Trust, Cascade Investment</w:t>
      </w:r>
    </w:p>
    <w:p>
      <w:r>
        <w:t>How to approach: Formal pitch process through their deal intake. They expect institutional-quality materials. Lead with data, not relationships.</w:t>
      </w:r>
    </w:p>
    <w:p>
      <w:r>
        <w:t>What to send: 1-page teaser, then full deck upon request. Include detailed financials.</w:t>
      </w:r>
    </w:p>
    <w:p>
      <w:pPr>
        <w:pStyle w:val="Heading2"/>
      </w:pPr>
      <w:r>
        <w:t>Type 2: The Opportunistic Principal (Co-Invest Score 6-8)</w:t>
      </w:r>
    </w:p>
    <w:p>
      <w:r>
        <w:t>Profile: Family principal who does select direct deals based on personal interest/expertise.</w:t>
      </w:r>
    </w:p>
    <w:p>
      <w:r>
        <w:rPr>
          <w:i/>
          <w:color w:val="666666"/>
        </w:rPr>
        <w:t>Examples: Thiel Capital, Schmidt Family Office, Pritzker Group</w:t>
      </w:r>
    </w:p>
    <w:p>
      <w:r>
        <w:t>How to approach: Through mutual connections. The principal must personally connect with the opportunity. Lead with the story, not the numbers.</w:t>
      </w:r>
    </w:p>
    <w:p>
      <w:r>
        <w:t>What to send: Short narrative email (3 paragraphs max), then a conversation, then materials.</w:t>
      </w:r>
    </w:p>
    <w:p>
      <w:pPr>
        <w:pStyle w:val="Heading2"/>
      </w:pPr>
      <w:r>
        <w:t>Type 3: The Fund-of-Funds LP (Co-Invest Score 4-6)</w:t>
      </w:r>
    </w:p>
    <w:p>
      <w:r>
        <w:t>Profile: Primarily invests through funds, occasionally does co-investments alongside trusted GPs.</w:t>
      </w:r>
    </w:p>
    <w:p>
      <w:r>
        <w:rPr>
          <w:i/>
          <w:color w:val="666666"/>
        </w:rPr>
        <w:t>Examples: Many European and Asian FOs in this category.</w:t>
      </w:r>
    </w:p>
    <w:p>
      <w:r>
        <w:t>How to approach: Through their existing GP relationships. If you're not already in their fund portfolio, co-investment is unlikely.</w:t>
      </w:r>
    </w:p>
    <w:p>
      <w:r>
        <w:t>What to send: Introduction via mutual GP. "We're doing a co-invest alongside [GP they know]."</w:t>
      </w:r>
    </w:p>
    <w:p>
      <w:pPr>
        <w:pStyle w:val="Heading2"/>
      </w:pPr>
      <w:r>
        <w:t>Type 4: The Sector Specialist (Co-Invest Score 5-8)</w:t>
      </w:r>
    </w:p>
    <w:p>
      <w:r>
        <w:t>Profile: Deep expertise in one sector, only co-invests in that vertical.</w:t>
      </w:r>
    </w:p>
    <w:p>
      <w:r>
        <w:rPr>
          <w:i/>
          <w:color w:val="666666"/>
        </w:rPr>
        <w:t>Examples: Poonawalla (healthcare), Grok Ventures (deep tech), Koch (energy/industrials)</w:t>
      </w:r>
    </w:p>
    <w:p>
      <w:r>
        <w:t>How to approach: Through sector-specific conferences and networks. Lead with domain expertise.</w:t>
      </w:r>
    </w:p>
    <w:p>
      <w:r>
        <w:t>What to send: Sector thesis first, deal second. "Here's how we see the [sector] landscape evolving."</w:t>
      </w:r>
    </w:p>
    <w:p>
      <w:pPr>
        <w:pStyle w:val="Heading2"/>
      </w:pPr>
      <w:r>
        <w:t>Type 5: The Legacy Holder (Co-Invest Score 1-3)</w:t>
      </w:r>
    </w:p>
    <w:p>
      <w:r>
        <w:t>Profile: Primarily manages existing family assets, minimal new investment activity.</w:t>
      </w:r>
    </w:p>
    <w:p>
      <w:r>
        <w:rPr>
          <w:i/>
          <w:color w:val="666666"/>
        </w:rPr>
        <w:t>Examples: Cadogan Estate, Portman Family Office, many 3rd+ generation offices</w:t>
      </w:r>
    </w:p>
    <w:p>
      <w:r>
        <w:t>How to approach: Generally not worth pursuing for co-investment. Their mandate is preservation, not growth.</w:t>
      </w:r>
    </w:p>
    <w:p>
      <w:r>
        <w:t>What to send: Don't. Unless you have a warm intro and a property/infrastructure deal.</w:t>
      </w:r>
    </w:p>
    <w:p>
      <w:r>
        <w:br w:type="page"/>
      </w:r>
    </w:p>
    <w:p>
      <w:pPr>
        <w:pStyle w:val="Heading1"/>
      </w:pPr>
      <w:r>
        <w:t>Chapter 3: Conference Strategy</w:t>
      </w:r>
    </w:p>
    <w:p>
      <w:pPr>
        <w:pStyle w:val="Heading2"/>
      </w:pPr>
      <w:r>
        <w:t>Tier 1 Events (Highest FO Density)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 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SuperReturn International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June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Berlin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500+ FOs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SALT Conference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New York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300+ FOs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Milken Institute Conference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Los Angeles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200+ FOs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Future Investment Initiative (FII)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October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Riyadh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200+ FOs (ME focus)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iConnections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Jan, March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Miami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300+ FOs</w:t>
            </w:r>
          </w:p>
        </w:tc>
      </w:tr>
    </w:tbl>
    <w:p/>
    <w:p>
      <w:pPr>
        <w:pStyle w:val="Heading2"/>
      </w:pPr>
      <w:r>
        <w:t>Tier 2 Events (Regional/Specialist)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Asian Private Banker FO Forum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Asia-Pacific FOs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European Family Office Summit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European FOs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Caproasia Summit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Southeast Asian FOs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Swiss Family Office Forum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Swiss/DACH FOs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Arab Family Office Summit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Middle East FOs</w:t>
            </w:r>
          </w:p>
        </w:tc>
      </w:tr>
    </w:tbl>
    <w:p/>
    <w:p>
      <w:pPr>
        <w:pStyle w:val="Heading2"/>
      </w:pPr>
      <w:r>
        <w:t>Conference Playbook</w:t>
      </w:r>
    </w:p>
    <w:p>
      <w:pPr>
        <w:pStyle w:val="ListNumber"/>
      </w:pPr>
      <w:r>
        <w:t>Pre-event (2-4 weeks before): Research which FOs are attending. Send targeted LinkedIn connection requests. "Looking forward to connecting at [Event]."</w:t>
      </w:r>
    </w:p>
    <w:p>
      <w:pPr>
        <w:pStyle w:val="ListNumber"/>
      </w:pPr>
      <w:r>
        <w:t>At the event: Focus on 5-7 target FOs. Don't pitch in the first conversation — build rapport. Ask about their investment thesis, not your deal.</w:t>
      </w:r>
    </w:p>
    <w:p>
      <w:pPr>
        <w:pStyle w:val="ListNumber"/>
      </w:pPr>
      <w:r>
        <w:t>Post-event (within 48 hours): Send personalized follow-up referencing your conversation. "Great discussing [specific topic]."</w:t>
      </w:r>
    </w:p>
    <w:p>
      <w:pPr>
        <w:pStyle w:val="ListNumber"/>
      </w:pPr>
      <w:r>
        <w:t>Follow-through (2-4 weeks later): Share something valuable (research, deal insight, introduction) before asking for anything.</w:t>
      </w:r>
    </w:p>
    <w:p>
      <w:r>
        <w:br w:type="page"/>
      </w:r>
    </w:p>
    <w:p>
      <w:pPr>
        <w:pStyle w:val="Heading1"/>
      </w:pPr>
      <w:r>
        <w:t>Chapter 4: Outreach Templates</w:t>
      </w:r>
    </w:p>
    <w:p>
      <w:pPr>
        <w:pStyle w:val="Heading2"/>
      </w:pPr>
      <w:r>
        <w:t>Template 1: Warm Introduction Email</w:t>
      </w:r>
    </w:p>
    <w:p>
      <w:pPr>
        <w:spacing w:before="120" w:after="120"/>
      </w:pPr>
      <w:r>
        <w:rPr>
          <w:rFonts w:ascii="Consolas" w:hAnsi="Consolas"/>
          <w:color w:val="2C2C2C"/>
          <w:sz w:val="18"/>
        </w:rPr>
        <w:t>Subject: Introduction — [Your Name], [Your Fund]</w:t>
        <w:br/>
        <w:br/>
        <w:t>Hi [First Name],</w:t>
        <w:br/>
        <w:br/>
        <w:t>[Mutual Contact] suggested I reach out. I run [Fund Name], a [$ size] fund</w:t>
        <w:br/>
        <w:t>focused on [sector].</w:t>
        <w:br/>
        <w:br/>
        <w:t>I noticed [FO Name]'s investments in [specific sector/companies] — our thesis</w:t>
        <w:br/>
        <w:t>around [specific angle] aligns closely with your focus.</w:t>
        <w:br/>
        <w:br/>
        <w:t>Would you be open to a brief call to explore potential synergies? I'm not</w:t>
        <w:br/>
        <w:t>looking to pitch — genuinely interested in your perspective on [sector trend].</w:t>
        <w:br/>
        <w:br/>
        <w:t>Best,</w:t>
        <w:br/>
        <w:t>[Your Name]</w:t>
      </w:r>
    </w:p>
    <w:p>
      <w:pPr>
        <w:pStyle w:val="Heading2"/>
      </w:pPr>
      <w:r>
        <w:t>Template 2: Conference Follow-Up</w:t>
      </w:r>
    </w:p>
    <w:p>
      <w:pPr>
        <w:spacing w:before="120" w:after="120"/>
      </w:pPr>
      <w:r>
        <w:rPr>
          <w:rFonts w:ascii="Consolas" w:hAnsi="Consolas"/>
          <w:color w:val="2C2C2C"/>
          <w:sz w:val="18"/>
        </w:rPr>
        <w:t>Subject: Great connecting at [Event Name]</w:t>
        <w:br/>
        <w:br/>
        <w:t>Hi [First Name],</w:t>
        <w:br/>
        <w:br/>
        <w:t>Really enjoyed our conversation about [specific topic] at [Event] on [day].</w:t>
        <w:br/>
        <w:br/>
        <w:t>Your point about [specific insight they shared] stuck with me — I think</w:t>
        <w:br/>
        <w:t>there's a meaningful overlap with what we're building at [Fund Name].</w:t>
        <w:br/>
        <w:br/>
        <w:t>I'd love to continue the conversation. Would [specific date/time] work</w:t>
        <w:br/>
        <w:t>for a 20-minute call?</w:t>
        <w:br/>
        <w:br/>
        <w:t>Best,</w:t>
        <w:br/>
        <w:t>[Your Name]</w:t>
      </w:r>
    </w:p>
    <w:p>
      <w:pPr>
        <w:pStyle w:val="Heading2"/>
      </w:pPr>
      <w:r>
        <w:t>Template 3: LinkedIn Connection Request</w:t>
      </w:r>
    </w:p>
    <w:p>
      <w:pPr>
        <w:spacing w:before="120" w:after="120"/>
      </w:pPr>
      <w:r>
        <w:rPr>
          <w:rFonts w:ascii="Consolas" w:hAnsi="Consolas"/>
          <w:color w:val="2C2C2C"/>
          <w:sz w:val="18"/>
        </w:rPr>
        <w:t>[First Name] — I lead [Fund Name], a [sector]-focused fund. Your work at</w:t>
        <w:br/>
        <w:t>[FO Name] in [specific area] is impressive. Would love to connect and</w:t>
        <w:br/>
        <w:t>exchange perspectives on [sector trend]. No pitch — genuine interest.</w:t>
      </w:r>
    </w:p>
    <w:p>
      <w:r>
        <w:br w:type="page"/>
      </w:r>
    </w:p>
    <w:p>
      <w:pPr>
        <w:pStyle w:val="Heading1"/>
      </w:pPr>
      <w:r>
        <w:t>Chapter 5: Red Flags That Get You Blacklisted</w:t>
      </w:r>
    </w:p>
    <w:p>
      <w:r>
        <w:rPr>
          <w:b/>
          <w:color w:val="9C0006"/>
        </w:rPr>
        <w:t xml:space="preserve">1. Mass emails: </w:t>
      </w:r>
      <w:r>
        <w:t>FO decision makers can spot batch outreach instantly. One generic email destroys your reputation permanently.</w:t>
      </w:r>
    </w:p>
    <w:p>
      <w:r>
        <w:rPr>
          <w:b/>
          <w:color w:val="9C0006"/>
        </w:rPr>
        <w:t xml:space="preserve">2. Name-dropping without permission: </w:t>
      </w:r>
      <w:r>
        <w:t>"I was talking to [other FO principal]..." Unless they explicitly authorized you to mention them, don't.</w:t>
      </w:r>
    </w:p>
    <w:p>
      <w:r>
        <w:rPr>
          <w:b/>
          <w:color w:val="9C0006"/>
        </w:rPr>
        <w:t xml:space="preserve">3. Inflated track record: </w:t>
      </w:r>
      <w:r>
        <w:t>FOs do deep reference checks. If your 3x return was really 1.5x after fees, they'll find out.</w:t>
      </w:r>
    </w:p>
    <w:p>
      <w:r>
        <w:rPr>
          <w:b/>
          <w:color w:val="9C0006"/>
        </w:rPr>
        <w:t xml:space="preserve">4. Pushing for a meeting: </w:t>
      </w:r>
      <w:r>
        <w:t>"Just following up for the 4th time..." Two follow-ups maximum. If they haven't responded, they're not interested.</w:t>
      </w:r>
    </w:p>
    <w:p>
      <w:r>
        <w:rPr>
          <w:b/>
          <w:color w:val="9C0006"/>
        </w:rPr>
        <w:t xml:space="preserve">5. Sharing confidential deal info: </w:t>
      </w:r>
      <w:r>
        <w:t>If you share another FO's deal data to impress them, they'll assume you'll share theirs too.</w:t>
      </w:r>
    </w:p>
    <w:p>
      <w:r>
        <w:rPr>
          <w:b/>
          <w:color w:val="9C0006"/>
        </w:rPr>
        <w:t xml:space="preserve">6. Misunderstanding family dynamics: </w:t>
      </w:r>
      <w:r>
        <w:t>Approaching the wrong family member, or not understanding internal family tensions. Research the family structure first.</w:t>
      </w:r>
    </w:p>
    <w:p>
      <w:r>
        <w:rPr>
          <w:b/>
          <w:color w:val="9C0006"/>
        </w:rPr>
        <w:t xml:space="preserve">7. Treating FOs like institutional LPs: </w:t>
      </w:r>
      <w:r>
        <w:t>Sending 60-page DDQs, requesting formal meetings with 'the investment committee.' FOs don't work like pension funds.</w:t>
      </w:r>
    </w:p>
    <w:p>
      <w:r>
        <w:br w:type="page"/>
      </w:r>
    </w:p>
    <w:p>
      <w:pPr>
        <w:pStyle w:val="Heading1"/>
      </w:pPr>
      <w:r>
        <w:t>Chapter 6: Building Long-Term FO Relationships</w:t>
      </w:r>
    </w:p>
    <w:p>
      <w:pPr>
        <w:pStyle w:val="Heading2"/>
      </w:pPr>
      <w:r>
        <w:t>The 12-Month Relationship Framework</w:t>
      </w:r>
    </w:p>
    <w:p>
      <w:pPr>
        <w:pStyle w:val="Heading3"/>
      </w:pPr>
      <w:r>
        <w:t>Months 1-3: Establish Presence</w:t>
      </w:r>
    </w:p>
    <w:p>
      <w:pPr>
        <w:pStyle w:val="ListBullet"/>
      </w:pPr>
      <w:r>
        <w:t>Connect on LinkedIn</w:t>
      </w:r>
    </w:p>
    <w:p>
      <w:pPr>
        <w:pStyle w:val="ListBullet"/>
      </w:pPr>
      <w:r>
        <w:t>Share 2-3 pieces of genuinely useful sector research (not your marketing materials)</w:t>
      </w:r>
    </w:p>
    <w:p>
      <w:pPr>
        <w:pStyle w:val="ListBullet"/>
      </w:pPr>
      <w:r>
        <w:t>Attend one event where they'll be present</w:t>
      </w:r>
    </w:p>
    <w:p>
      <w:pPr>
        <w:pStyle w:val="Heading3"/>
      </w:pPr>
      <w:r>
        <w:t>Months 4-6: Add Value First</w:t>
      </w:r>
    </w:p>
    <w:p>
      <w:pPr>
        <w:pStyle w:val="ListBullet"/>
      </w:pPr>
      <w:r>
        <w:t>Make an introduction that benefits THEM (not you)</w:t>
      </w:r>
    </w:p>
    <w:p>
      <w:pPr>
        <w:pStyle w:val="ListBullet"/>
      </w:pPr>
      <w:r>
        <w:t>Share a deal they might be interested in (even if it's not yours)</w:t>
      </w:r>
    </w:p>
    <w:p>
      <w:pPr>
        <w:pStyle w:val="ListBullet"/>
      </w:pPr>
      <w:r>
        <w:t>Comment thoughtfully on their LinkedIn posts or press mentions</w:t>
      </w:r>
    </w:p>
    <w:p>
      <w:pPr>
        <w:pStyle w:val="Heading3"/>
      </w:pPr>
      <w:r>
        <w:t>Months 7-9: Deepen the Relationship</w:t>
      </w:r>
    </w:p>
    <w:p>
      <w:pPr>
        <w:pStyle w:val="ListBullet"/>
      </w:pPr>
      <w:r>
        <w:t>Request a casual coffee/call — "No agenda, just want to understand your current thinking on [sector]"</w:t>
      </w:r>
    </w:p>
    <w:p>
      <w:pPr>
        <w:pStyle w:val="ListBullet"/>
      </w:pPr>
      <w:r>
        <w:t>Share proprietary market insights from your deal flow</w:t>
      </w:r>
    </w:p>
    <w:p>
      <w:pPr>
        <w:pStyle w:val="ListBullet"/>
      </w:pPr>
      <w:r>
        <w:t>If appropriate, invite them to a private event you're hosting</w:t>
      </w:r>
    </w:p>
    <w:p>
      <w:pPr>
        <w:pStyle w:val="Heading3"/>
      </w:pPr>
      <w:r>
        <w:t>Months 10-12: Present an Opportunity</w:t>
      </w:r>
    </w:p>
    <w:p>
      <w:pPr>
        <w:pStyle w:val="ListBullet"/>
      </w:pPr>
      <w:r>
        <w:t>By now they know you, trust you, and understand your expertise</w:t>
      </w:r>
    </w:p>
    <w:p>
      <w:pPr>
        <w:pStyle w:val="ListBullet"/>
      </w:pPr>
      <w:r>
        <w:t>Present your deal/fund as a natural extension of the relationship</w:t>
      </w:r>
    </w:p>
    <w:p>
      <w:pPr>
        <w:pStyle w:val="ListBullet"/>
      </w:pPr>
      <w:r>
        <w:t>Frame it as: "Based on our conversations about [sector], I think this might align with what you're looking for"</w:t>
      </w:r>
    </w:p>
    <w:p>
      <w:pPr>
        <w:spacing w:before="120" w:after="120"/>
      </w:pPr>
      <w:r>
        <w:rPr>
          <w:b/>
          <w:color w:val="2E75B6"/>
          <w:sz w:val="22"/>
        </w:rPr>
        <w:t xml:space="preserve">The Cardinal Rule: </w:t>
      </w:r>
      <w:r>
        <w:rPr>
          <w:i/>
          <w:color w:val="2C2C2C"/>
          <w:sz w:val="22"/>
        </w:rPr>
        <w:t>Give before you ask. Always. The fund managers who succeed with family offices are the ones who spend 12 months building a relationship before ever mentioning a deal.</w:t>
      </w:r>
    </w:p>
    <w:p>
      <w:r>
        <w:br w:type="page"/>
      </w:r>
    </w:p>
    <w:p>
      <w:pPr>
        <w:pStyle w:val="Heading1"/>
      </w:pPr>
      <w:r>
        <w:t>Important: Regulatory Considerations</w:t>
      </w:r>
    </w:p>
    <w:p>
      <w:r>
        <w:t>This guide provides relationship and networking strategy. It does not constitute legal or compliance advice. Fund managers and placement agents should be aware of:</w:t>
      </w:r>
    </w:p>
    <w:p>
      <w:pPr>
        <w:pStyle w:val="ListBullet"/>
      </w:pPr>
      <w:r>
        <w:t>US: Regulation D (Rule 506(b) and 506(c)) governs private placement solicitation. General solicitation rules apply.</w:t>
      </w:r>
    </w:p>
    <w:p>
      <w:pPr>
        <w:pStyle w:val="ListBullet"/>
      </w:pPr>
      <w:r>
        <w:t>Europe: AIFMD marketing passport rules restrict how non-EU managers can approach EU-based FOs.</w:t>
      </w:r>
    </w:p>
    <w:p>
      <w:pPr>
        <w:pStyle w:val="ListBullet"/>
      </w:pPr>
      <w:r>
        <w:t>Asia: MAS (Singapore), SFC (Hong Kong), and SEBI (India) each have distinct rules.</w:t>
      </w:r>
    </w:p>
    <w:p>
      <w:pPr>
        <w:pStyle w:val="ListBullet"/>
      </w:pPr>
      <w:r>
        <w:t>Placement agents: May require FINRA registration (US), FCA authorization (UK), or equivalent local licensing.</w:t>
      </w:r>
    </w:p>
    <w:p>
      <w:pPr>
        <w:spacing w:before="120" w:after="120"/>
      </w:pPr>
      <w:r>
        <w:rPr>
          <w:b/>
          <w:color w:val="2E75B6"/>
          <w:sz w:val="22"/>
        </w:rPr>
        <w:t xml:space="preserve">Disclaimer: </w:t>
      </w:r>
      <w:r>
        <w:rPr>
          <w:i/>
          <w:color w:val="2C2C2C"/>
          <w:sz w:val="22"/>
        </w:rPr>
        <w:t>Always consult qualified legal counsel before initiating any fundraising outreach.</w:t>
      </w:r>
    </w:p>
    <w:p>
      <w:r>
        <w:rPr>
          <w:b/>
        </w:rPr>
        <w:t>Key industry networks for staying current on FO regulatory frameworks:</w:t>
      </w:r>
    </w:p>
    <w:p>
      <w:pPr>
        <w:pStyle w:val="ListBullet"/>
      </w:pPr>
      <w:r>
        <w:t>Family Office Exchange (FOX) — the most established FO peer network globally</w:t>
      </w:r>
    </w:p>
    <w:p>
      <w:pPr>
        <w:pStyle w:val="ListBullet"/>
      </w:pPr>
      <w:r>
        <w:t>Tiger 21 — peer-to-peer network for UHNW investors and family offices</w:t>
      </w:r>
    </w:p>
    <w:p>
      <w:pPr>
        <w:pStyle w:val="ListBullet"/>
      </w:pPr>
      <w:r>
        <w:t>CAIA Association — credentialing body for alternative investment professionals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Family Office
Approach Playbook</dc:title>
  <dc:subject/>
  <dc:creator>Falcon Scaling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