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/>
    <w:p/>
    <w:p/>
    <w:p/>
    <w:p>
      <w:pPr>
        <w:jc w:val="center"/>
      </w:pPr>
      <w:r>
        <w:rPr>
          <w:rFonts w:ascii="Calibri" w:hAnsi="Calibri"/>
          <w:b/>
          <w:color w:val="1F4E79"/>
          <w:sz w:val="64"/>
        </w:rPr>
        <w:t>Co-Investment Intelligence</w:t>
        <w:br/>
        <w:t>Accelerator</w:t>
      </w:r>
    </w:p>
    <w:p>
      <w:pPr>
        <w:jc w:val="center"/>
      </w:pPr>
      <w:r>
        <w:rPr>
          <w:rFonts w:ascii="Calibri" w:hAnsi="Calibri"/>
          <w:color w:val="666666"/>
          <w:sz w:val="28"/>
        </w:rPr>
        <w:t>Product Overview — $197 One-Time Purchase</w:t>
      </w:r>
    </w:p>
    <w:p/>
    <w:p>
      <w:pPr>
        <w:jc w:val="center"/>
      </w:pPr>
      <w:r>
        <w:rPr>
          <w:color w:val="2E75B6"/>
          <w:sz w:val="20"/>
        </w:rPr>
        <w:t>____________________________________________________________</w:t>
      </w:r>
    </w:p>
    <w:p/>
    <w:p>
      <w:pPr>
        <w:jc w:val="center"/>
      </w:pPr>
      <w:r>
        <w:rPr>
          <w:rFonts w:ascii="Calibri" w:hAnsi="Calibri"/>
          <w:color w:val="666666"/>
          <w:sz w:val="22"/>
        </w:rPr>
        <w:t>Prepared by Falcon Scaling</w:t>
      </w:r>
    </w:p>
    <w:p>
      <w:pPr>
        <w:jc w:val="center"/>
      </w:pPr>
      <w:r>
        <w:rPr>
          <w:rFonts w:ascii="Calibri" w:hAnsi="Calibri"/>
          <w:color w:val="666666"/>
          <w:sz w:val="22"/>
        </w:rPr>
        <w:t>March 2026</w:t>
      </w:r>
    </w:p>
    <w:p>
      <w:r>
        <w:br w:type="page"/>
      </w:r>
    </w:p>
    <w:p>
      <w:pPr>
        <w:pStyle w:val="Heading1"/>
      </w:pPr>
      <w:r>
        <w:t>The Problem</w:t>
      </w:r>
    </w:p>
    <w:p>
      <w:r>
        <w:t>Fund managers, GPs, and capital raisers waste months trying to figure out which family offices actually co-invest, who they co-invest with, and how to get into co-investment deal flow.</w:t>
      </w:r>
    </w:p>
    <w:p>
      <w:pPr>
        <w:spacing w:before="120" w:after="120"/>
      </w:pPr>
      <w:r>
        <w:rPr>
          <w:b/>
          <w:color w:val="2E75B6"/>
          <w:sz w:val="22"/>
        </w:rPr>
        <w:t xml:space="preserve">Market Reality: </w:t>
      </w:r>
      <w:r>
        <w:rPr>
          <w:i/>
          <w:color w:val="2C2C2C"/>
          <w:sz w:val="22"/>
        </w:rPr>
        <w:t>69% of family offices co-invest or plan to (UBS Global Family Office Report 2024). But the 'who invests with whom' network is opaque.</w:t>
      </w:r>
    </w:p>
    <w:p>
      <w:r>
        <w:t>Current options are either:</w:t>
      </w:r>
    </w:p>
    <w:p>
      <w:pPr>
        <w:pStyle w:val="ListBullet"/>
      </w:pPr>
      <w:r>
        <w:t>Too expensive: PitchBook ($20K+/yr), Fintrx ($10K+/yr) — out of reach for emerging managers</w:t>
      </w:r>
    </w:p>
    <w:p>
      <w:pPr>
        <w:pStyle w:val="ListBullet"/>
      </w:pPr>
      <w:r>
        <w:t>Too generic: LinkedIn research, conference networking — unstructured, time-consuming</w:t>
      </w:r>
    </w:p>
    <w:p>
      <w:pPr>
        <w:pStyle w:val="ListBullet"/>
      </w:pPr>
      <w:r>
        <w:t>Non-existent: No product specifically maps FO co-investment networks at an accessible price point</w:t>
      </w:r>
    </w:p>
    <w:p>
      <w:pPr>
        <w:pStyle w:val="Heading1"/>
      </w:pPr>
      <w:r>
        <w:t>The Ideal Customer Profile (ICP)</w:t>
      </w:r>
    </w:p>
    <w:p>
      <w:pPr>
        <w:pStyle w:val="ListBullet"/>
      </w:pPr>
      <w:r>
        <w:t>Emerging fund managers ($50M-$500M AUM) raising capital from family offices</w:t>
      </w:r>
    </w:p>
    <w:p>
      <w:pPr>
        <w:pStyle w:val="ListBullet"/>
      </w:pPr>
      <w:r>
        <w:t>PE/VC associates responsible for LP targeting and capital introduction</w:t>
      </w:r>
    </w:p>
    <w:p>
      <w:pPr>
        <w:pStyle w:val="ListBullet"/>
      </w:pPr>
      <w:r>
        <w:t>Capital introduction consultants building FO relationship maps</w:t>
      </w:r>
    </w:p>
    <w:p>
      <w:pPr>
        <w:pStyle w:val="ListBullet"/>
      </w:pPr>
      <w:r>
        <w:t>Placement agents working fundraising mandates</w:t>
      </w:r>
    </w:p>
    <w:p>
      <w:pPr>
        <w:pStyle w:val="ListBullet"/>
      </w:pPr>
      <w:r>
        <w:t>Independent sponsors seeking co-investment partners for deals</w:t>
      </w:r>
    </w:p>
    <w:p>
      <w:pPr>
        <w:pStyle w:val="Heading1"/>
      </w:pPr>
      <w:r>
        <w:t>The Product ($197 One-Time)</w:t>
      </w:r>
    </w:p>
    <w:p>
      <w:r>
        <w:t>A three-component bundle delivering immediate, actionable co-investment intelligence:</w:t>
      </w:r>
    </w:p>
    <w:p>
      <w:pPr>
        <w:pStyle w:val="Heading2"/>
      </w:pPr>
      <w:r>
        <w:t>Component 1: Excel Dashboard — "FO Co-Investment Scorer &amp; Mapper"</w:t>
      </w:r>
    </w:p>
    <w:p>
      <w:pPr>
        <w:pStyle w:val="ListBullet"/>
      </w:pPr>
      <w:r>
        <w:t>200 family offices scored for co-investment propensity (1-10 scale)</w:t>
      </w:r>
    </w:p>
    <w:p>
      <w:pPr>
        <w:pStyle w:val="ListBullet"/>
      </w:pPr>
      <w:r>
        <w:t>Accessibility scoring for outreach readiness (Green/Yellow/Red)</w:t>
      </w:r>
    </w:p>
    <w:p>
      <w:pPr>
        <w:pStyle w:val="ListBullet"/>
      </w:pPr>
      <w:r>
        <w:t>Known co-investor relationships and fund relationships included per FO</w:t>
      </w:r>
    </w:p>
    <w:p>
      <w:pPr>
        <w:pStyle w:val="ListBullet"/>
      </w:pPr>
      <w:r>
        <w:t>Filterable by region, sector, check size, co-invest frequency</w:t>
      </w:r>
    </w:p>
    <w:p>
      <w:pPr>
        <w:pStyle w:val="ListBullet"/>
      </w:pPr>
      <w:r>
        <w:t>Pre-built pivot views by region and sector</w:t>
      </w:r>
    </w:p>
    <w:p>
      <w:pPr>
        <w:pStyle w:val="Heading2"/>
      </w:pPr>
      <w:r>
        <w:t>Component 2: Written Guide — "The Family Office Approach Playbook"</w:t>
      </w:r>
    </w:p>
    <w:p>
      <w:pPr>
        <w:pStyle w:val="ListBullet"/>
      </w:pPr>
      <w:r>
        <w:t>How family offices make co-investment decisions</w:t>
      </w:r>
    </w:p>
    <w:p>
      <w:pPr>
        <w:pStyle w:val="ListBullet"/>
      </w:pPr>
      <w:r>
        <w:t>The 5 types of FO co-investors and how to approach each</w:t>
      </w:r>
    </w:p>
    <w:p>
      <w:pPr>
        <w:pStyle w:val="ListBullet"/>
      </w:pPr>
      <w:r>
        <w:t>Conference strategy guide with specific events</w:t>
      </w:r>
    </w:p>
    <w:p>
      <w:pPr>
        <w:pStyle w:val="ListBullet"/>
      </w:pPr>
      <w:r>
        <w:t>Email and LinkedIn outreach templates by FO type</w:t>
      </w:r>
    </w:p>
    <w:p>
      <w:pPr>
        <w:pStyle w:val="ListBullet"/>
      </w:pPr>
      <w:r>
        <w:t>Red flags that get you blacklisted</w:t>
      </w:r>
    </w:p>
    <w:p>
      <w:pPr>
        <w:pStyle w:val="ListBullet"/>
      </w:pPr>
      <w:r>
        <w:t>Long-term relationship building framework</w:t>
      </w:r>
    </w:p>
    <w:p>
      <w:pPr>
        <w:pStyle w:val="Heading2"/>
      </w:pPr>
      <w:r>
        <w:t>Component 3: Custom GPT — "FO Co-Investment Advisor"</w:t>
      </w:r>
    </w:p>
    <w:p>
      <w:pPr>
        <w:pStyle w:val="ListBullet"/>
      </w:pPr>
      <w:r>
        <w:t>Interactive AI advisor trained on co-investment methodology</w:t>
      </w:r>
    </w:p>
    <w:p>
      <w:pPr>
        <w:pStyle w:val="ListBullet"/>
      </w:pPr>
      <w:r>
        <w:t>Ask: "I'm raising a $75M climate tech fund — which FOs should I target?"</w:t>
      </w:r>
    </w:p>
    <w:p>
      <w:pPr>
        <w:pStyle w:val="ListBullet"/>
      </w:pPr>
      <w:r>
        <w:t>Returns personalized targeting lists with reasoning and approach strategy</w:t>
      </w:r>
    </w:p>
    <w:p>
      <w:pPr>
        <w:pStyle w:val="Heading1"/>
      </w:pPr>
      <w:r>
        <w:t>Ascension Path</w:t>
      </w:r>
    </w:p>
    <w:tbl>
      <w:tblPr>
        <w:tblW w:type="auto" w:w="0"/>
        <w:jc w:val="center"/>
        <w:tblLook w:firstColumn="1" w:firstRow="1" w:lastColumn="0" w:lastRow="0" w:noHBand="0" w:noVBand="1" w:val="04A0"/>
      </w:tblPr>
      <w:tblGrid>
        <w:gridCol w:w="3135"/>
        <w:gridCol w:w="3135"/>
        <w:gridCol w:w="3135"/>
      </w:tblGrid>
      <w:tr>
        <w:tc>
          <w:tcPr>
            <w:tcW w:type="dxa" w:w="2880"/>
            <w:shd w:fill="1F4E79" w:val="clear"/>
          </w:tcPr>
          <w:p>
            <w:r>
              <w:rPr>
                <w:rFonts w:ascii="Calibri" w:hAnsi="Calibri"/>
                <w:b/>
                <w:color w:val="FFFFFF"/>
                <w:sz w:val="20"/>
              </w:rPr>
              <w:t>Stage</w:t>
            </w:r>
          </w:p>
        </w:tc>
        <w:tc>
          <w:tcPr>
            <w:tcW w:type="dxa" w:w="2880"/>
            <w:shd w:fill="1F4E79" w:val="clear"/>
          </w:tcPr>
          <w:p>
            <w:r>
              <w:rPr>
                <w:rFonts w:ascii="Calibri" w:hAnsi="Calibri"/>
                <w:b/>
                <w:color w:val="FFFFFF"/>
                <w:sz w:val="20"/>
              </w:rPr>
              <w:t>Product</w:t>
            </w:r>
          </w:p>
        </w:tc>
        <w:tc>
          <w:tcPr>
            <w:tcW w:type="dxa" w:w="2880"/>
            <w:shd w:fill="1F4E79" w:val="clear"/>
          </w:tcPr>
          <w:p>
            <w:r>
              <w:rPr>
                <w:rFonts w:ascii="Calibri" w:hAnsi="Calibri"/>
                <w:b/>
                <w:color w:val="FFFFFF"/>
                <w:sz w:val="20"/>
              </w:rPr>
              <w:t>Price</w:t>
            </w:r>
          </w:p>
        </w:tc>
      </w:tr>
      <w:tr>
        <w:tc>
          <w:tcPr>
            <w:tcW w:type="dxa" w:w="2880"/>
          </w:tcPr>
          <w:p>
            <w:r>
              <w:rPr>
                <w:rFonts w:ascii="Calibri" w:hAnsi="Calibri"/>
                <w:sz w:val="20"/>
              </w:rPr>
              <w:t>Entry</w:t>
            </w:r>
          </w:p>
        </w:tc>
        <w:tc>
          <w:tcPr>
            <w:tcW w:type="dxa" w:w="2880"/>
          </w:tcPr>
          <w:p>
            <w:r>
              <w:rPr>
                <w:rFonts w:ascii="Calibri" w:hAnsi="Calibri"/>
                <w:sz w:val="20"/>
              </w:rPr>
              <w:t>Co-Investment Accelerator (one-time, static snapshot)</w:t>
            </w:r>
          </w:p>
        </w:tc>
        <w:tc>
          <w:tcPr>
            <w:tcW w:type="dxa" w:w="2880"/>
          </w:tcPr>
          <w:p>
            <w:r>
              <w:rPr>
                <w:rFonts w:ascii="Calibri" w:hAnsi="Calibri"/>
                <w:sz w:val="20"/>
              </w:rPr>
              <w:t>$197</w:t>
            </w:r>
          </w:p>
        </w:tc>
      </w:tr>
      <w:tr>
        <w:tc>
          <w:tcPr>
            <w:tcW w:type="dxa" w:w="2880"/>
          </w:tcPr>
          <w:p>
            <w:r>
              <w:rPr>
                <w:rFonts w:ascii="Calibri" w:hAnsi="Calibri"/>
                <w:sz w:val="20"/>
              </w:rPr>
              <w:t>Growth</w:t>
            </w:r>
          </w:p>
        </w:tc>
        <w:tc>
          <w:tcPr>
            <w:tcW w:type="dxa" w:w="2880"/>
          </w:tcPr>
          <w:p>
            <w:r>
              <w:rPr>
                <w:rFonts w:ascii="Calibri" w:hAnsi="Calibri"/>
                <w:sz w:val="20"/>
              </w:rPr>
              <w:t>PolarityIQ Subscription (live platform, 10,000+ FOs)</w:t>
            </w:r>
          </w:p>
        </w:tc>
        <w:tc>
          <w:tcPr>
            <w:tcW w:type="dxa" w:w="2880"/>
          </w:tcPr>
          <w:p>
            <w:r>
              <w:rPr>
                <w:rFonts w:ascii="Calibri" w:hAnsi="Calibri"/>
                <w:sz w:val="20"/>
              </w:rPr>
              <w:t>$295+/mo</w:t>
            </w:r>
          </w:p>
        </w:tc>
      </w:tr>
      <w:tr>
        <w:tc>
          <w:tcPr>
            <w:tcW w:type="dxa" w:w="2880"/>
          </w:tcPr>
          <w:p>
            <w:r>
              <w:rPr>
                <w:rFonts w:ascii="Calibri" w:hAnsi="Calibri"/>
                <w:sz w:val="20"/>
              </w:rPr>
              <w:t>Scale</w:t>
            </w:r>
          </w:p>
        </w:tc>
        <w:tc>
          <w:tcPr>
            <w:tcW w:type="dxa" w:w="2880"/>
          </w:tcPr>
          <w:p>
            <w:r>
              <w:rPr>
                <w:rFonts w:ascii="Calibri" w:hAnsi="Calibri"/>
                <w:sz w:val="20"/>
              </w:rPr>
              <w:t>Custom FO Targeting Report (done-for-you analysis)</w:t>
            </w:r>
          </w:p>
        </w:tc>
        <w:tc>
          <w:tcPr>
            <w:tcW w:type="dxa" w:w="2880"/>
          </w:tcPr>
          <w:p>
            <w:r>
              <w:rPr>
                <w:rFonts w:ascii="Calibri" w:hAnsi="Calibri"/>
                <w:sz w:val="20"/>
              </w:rPr>
              <w:t>$2,000+</w:t>
            </w:r>
          </w:p>
        </w:tc>
      </w:tr>
      <w:tr>
        <w:tc>
          <w:tcPr>
            <w:tcW w:type="dxa" w:w="2880"/>
          </w:tcPr>
          <w:p>
            <w:r>
              <w:rPr>
                <w:rFonts w:ascii="Calibri" w:hAnsi="Calibri"/>
                <w:sz w:val="20"/>
              </w:rPr>
              <w:t>Enterprise</w:t>
            </w:r>
          </w:p>
        </w:tc>
        <w:tc>
          <w:tcPr>
            <w:tcW w:type="dxa" w:w="2880"/>
          </w:tcPr>
          <w:p>
            <w:r>
              <w:rPr>
                <w:rFonts w:ascii="Calibri" w:hAnsi="Calibri"/>
                <w:sz w:val="20"/>
              </w:rPr>
              <w:t>Managed Introduction Service (concierge networking)</w:t>
            </w:r>
          </w:p>
        </w:tc>
        <w:tc>
          <w:tcPr>
            <w:tcW w:type="dxa" w:w="2880"/>
          </w:tcPr>
          <w:p>
            <w:r>
              <w:rPr>
                <w:rFonts w:ascii="Calibri" w:hAnsi="Calibri"/>
                <w:sz w:val="20"/>
              </w:rPr>
              <w:t>$5,000+</w:t>
            </w:r>
          </w:p>
        </w:tc>
      </w:tr>
    </w:tbl>
    <w:p/>
    <w:p>
      <w:r>
        <w:rPr>
          <w:i/>
          <w:color w:val="666666"/>
        </w:rPr>
        <w:t>Why the ascension works: The static Excel creates desire for live data. The guide teaches methodology but doesn't execute it. The product proves ROI at minimal risk.</w:t>
      </w:r>
    </w:p>
    <w:p>
      <w:pPr>
        <w:pStyle w:val="Heading1"/>
      </w:pPr>
      <w:r>
        <w:t>Why Investors Would Pay $197</w:t>
      </w:r>
    </w:p>
    <w:p>
      <w:pPr>
        <w:pStyle w:val="ListNumber"/>
      </w:pPr>
      <w:r>
        <w:t>Immediate ROI: One successful FO introduction can generate $1M+ in LP commitments. $197 is trivial.</w:t>
      </w:r>
    </w:p>
    <w:p>
      <w:pPr>
        <w:pStyle w:val="ListNumber"/>
      </w:pPr>
      <w:r>
        <w:t>Time savings: Replaces weeks of manual LinkedIn research with a pre-scored, filterable database.</w:t>
      </w:r>
    </w:p>
    <w:p>
      <w:pPr>
        <w:pStyle w:val="ListNumber"/>
      </w:pPr>
      <w:r>
        <w:t>Competitive edge: Most emerging managers rely on warm intros and luck. This is systematic intelligence.</w:t>
      </w:r>
    </w:p>
    <w:p>
      <w:pPr>
        <w:pStyle w:val="ListNumber"/>
      </w:pPr>
      <w:r>
        <w:t>No comparable product: Nothing in the market maps FO co-investment networks at this price point.</w:t>
      </w:r>
    </w:p>
    <w:p>
      <w:pPr>
        <w:pStyle w:val="ListNumber"/>
      </w:pPr>
      <w:r>
        <w:t>Risk-free entry: At $197, the purchase decision is a no-brainer for anyone serious about FO fundraising.</w:t>
      </w:r>
    </w:p>
    <w:sectPr w:rsidR="00FC693F" w:rsidRPr="0006063C" w:rsidSect="00034616">
      <w:pgSz w:w="12240" w:h="15840"/>
      <w:pgMar w:top="1417" w:right="1417" w:bottom="1417" w:left="1417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pPr>
      <w:spacing w:after="120" w:line="276" w:lineRule="auto"/>
    </w:pPr>
    <w:rPr>
      <w:rFonts w:ascii="Calibri" w:hAnsi="Calibri"/>
      <w:color w:val="2C2C2C"/>
      <w:sz w:val="22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360" w:after="120"/>
      <w:outlineLvl w:val="0"/>
    </w:pPr>
    <w:rPr>
      <w:rFonts w:asciiTheme="majorHAnsi" w:eastAsiaTheme="majorEastAsia" w:hAnsiTheme="majorHAnsi" w:cstheme="majorBidi" w:ascii="Calibri" w:hAnsi="Calibri"/>
      <w:b/>
      <w:bCs/>
      <w:color w:val="1F4E79"/>
      <w:sz w:val="4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360" w:after="120"/>
      <w:outlineLvl w:val="1"/>
    </w:pPr>
    <w:rPr>
      <w:rFonts w:asciiTheme="majorHAnsi" w:eastAsiaTheme="majorEastAsia" w:hAnsiTheme="majorHAnsi" w:cstheme="majorBidi" w:ascii="Calibri" w:hAnsi="Calibri"/>
      <w:b/>
      <w:bCs/>
      <w:color w:val="1F4E79"/>
      <w:sz w:val="3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40" w:after="120"/>
      <w:outlineLvl w:val="2"/>
    </w:pPr>
    <w:rPr>
      <w:rFonts w:asciiTheme="majorHAnsi" w:eastAsiaTheme="majorEastAsia" w:hAnsiTheme="majorHAnsi" w:cstheme="majorBidi" w:ascii="Calibri" w:hAnsi="Calibri"/>
      <w:b/>
      <w:bCs/>
      <w:color w:val="2E75B6"/>
      <w:sz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40" w:after="120"/>
      <w:outlineLvl w:val="3"/>
    </w:pPr>
    <w:rPr>
      <w:rFonts w:asciiTheme="majorHAnsi" w:eastAsiaTheme="majorEastAsia" w:hAnsiTheme="majorHAnsi" w:cstheme="majorBidi" w:ascii="Calibri" w:hAnsi="Calibri"/>
      <w:b/>
      <w:bCs/>
      <w:i/>
      <w:iCs/>
      <w:color w:val="2E75B6"/>
      <w:sz w:val="24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Co-Investment Intelligence
Accelerator</dc:title>
  <dc:subject/>
  <dc:creator>Falcon Scaling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