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360"/>
        <w:jc w:val="center"/>
      </w:pPr>
      <w:r>
        <w:rPr>
          <w:rFonts w:ascii="Hiragino Sans GB" w:hAnsi="Hiragino Sans GB" w:eastAsia="Hiragino Sans GB"/>
          <w:b/>
          <w:color w:val="D94F2B"/>
          <w:sz w:val="18"/>
        </w:rPr>
        <w:t>EVIDENCE-INFORMED FIELD GUIDE</w:t>
      </w:r>
    </w:p>
    <w:p>
      <w:pPr>
        <w:keepNext w:val="0"/>
        <w:spacing w:before="0" w:after="160"/>
        <w:jc w:val="center"/>
      </w:pPr>
      <w:r>
        <w:rPr>
          <w:rFonts w:ascii="Hiragino Sans GB" w:hAnsi="Hiragino Sans GB" w:eastAsia="Hiragino Sans GB"/>
          <w:b/>
          <w:color w:val="211D1A"/>
          <w:sz w:val="60"/>
        </w:rPr>
        <w:t>貓咪行為翻譯指南</w:t>
      </w:r>
    </w:p>
    <w:p>
      <w:pPr>
        <w:pStyle w:val="Subtitle"/>
        <w:keepNext w:val="0"/>
        <w:spacing w:before="0" w:after="640"/>
        <w:jc w:val="center"/>
      </w:pPr>
      <w:r>
        <w:rPr>
          <w:rFonts w:ascii="Hiragino Sans GB" w:hAnsi="Hiragino Sans GB" w:eastAsia="Hiragino Sans GB"/>
          <w:color w:val="211D1A"/>
          <w:sz w:val="22"/>
        </w:rPr>
        <w:t>從姿勢、耳朵、尾巴、眼睛、聲音與情境，判讀較可能的情緒狀態</w:t>
      </w:r>
    </w:p>
    <w:p>
      <w:pPr>
        <w:keepNext w:val="0"/>
        <w:spacing w:before="0" w:after="2080"/>
        <w:jc w:val="center"/>
      </w:pPr>
      <w:r>
        <w:rPr>
          <w:rFonts w:ascii="Hiragino Sans GB" w:hAnsi="Hiragino Sans GB" w:eastAsia="Hiragino Sans GB"/>
          <w:i/>
          <w:color w:val="1F4D78"/>
          <w:sz w:val="22"/>
        </w:rPr>
        <w:t>不是貓語字典，而是一套以研究與臨床指南為基礎的觀察方法</w:t>
      </w:r>
    </w:p>
    <w:p>
      <w:pPr>
        <w:keepNext w:val="0"/>
        <w:spacing w:before="0" w:after="40"/>
        <w:jc w:val="center"/>
      </w:pPr>
      <w:r>
        <w:rPr>
          <w:rFonts w:ascii="Hiragino Sans GB" w:hAnsi="Hiragino Sans GB" w:eastAsia="Hiragino Sans GB"/>
          <w:b/>
          <w:color w:val="666666"/>
          <w:sz w:val="18"/>
        </w:rPr>
        <w:t>研究整理日期</w:t>
      </w:r>
    </w:p>
    <w:p>
      <w:pPr>
        <w:keepNext w:val="0"/>
        <w:spacing w:before="0" w:after="160"/>
        <w:jc w:val="center"/>
      </w:pPr>
      <w:r>
        <w:rPr>
          <w:rFonts w:ascii="Hiragino Sans GB" w:hAnsi="Hiragino Sans GB" w:eastAsia="Hiragino Sans GB"/>
          <w:b/>
          <w:color w:val="211D1A"/>
          <w:sz w:val="24"/>
        </w:rPr>
        <w:t>2026 年 7 月 20 日</w:t>
      </w:r>
    </w:p>
    <w:p>
      <w:pPr>
        <w:keepNext w:val="0"/>
        <w:spacing w:before="0" w:after="0"/>
        <w:jc w:val="center"/>
      </w:pPr>
      <w:r>
        <w:rPr>
          <w:rFonts w:ascii="Hiragino Sans GB" w:hAnsi="Hiragino Sans GB" w:eastAsia="Hiragino Sans GB"/>
          <w:color w:val="666666"/>
          <w:sz w:val="19"/>
        </w:rPr>
        <w:t>適用對象：一般貓咪照護者與內容設計參考</w:t>
      </w:r>
    </w:p>
    <w:p>
      <w:r>
        <w:br w:type="page"/>
      </w:r>
    </w:p>
    <w:p>
      <w:pPr>
        <w:pStyle w:val="Heading1"/>
        <w:keepNext/>
      </w:pPr>
      <w:r>
        <w:t>先說結論：這不是逐字翻譯</w:t>
      </w:r>
    </w:p>
    <w:p>
      <w:pPr>
        <w:shd w:fill="FFF4E8"/>
        <w:pBdr>
          <w:top w:val="single" w:sz="4" w:space="8" w:color="AFAFAF"/>
          <w:left w:val="single" w:sz="4" w:space="8" w:color="AFAFAF"/>
          <w:bottom w:val="single" w:sz="4" w:space="8" w:color="AFAFAF"/>
          <w:right w:val="single" w:sz="4" w:space="8" w:color="AFAFAF"/>
        </w:pBdr>
        <w:spacing w:before="120" w:after="240" w:line="288" w:lineRule="auto"/>
        <w:ind w:left="115" w:right="115"/>
      </w:pPr>
      <w:r>
        <w:rPr>
          <w:rFonts w:ascii="Hiragino Sans GB" w:hAnsi="Hiragino Sans GB" w:eastAsia="Hiragino Sans GB"/>
          <w:b/>
          <w:color w:val="D94F2B"/>
          <w:sz w:val="20"/>
        </w:rPr>
        <w:t xml:space="preserve">核心原則  </w:t>
      </w:r>
      <w:r>
        <w:rPr>
          <w:rFonts w:ascii="Hiragino Sans GB" w:hAnsi="Hiragino Sans GB" w:eastAsia="Hiragino Sans GB"/>
          <w:color w:val="211D1A"/>
          <w:sz w:val="21"/>
        </w:rPr>
        <w:t>貓咪的單一動作通常沒有唯一意思。可靠判讀要同時看「訊號組合、發生情境、個體平常基準、行為是否突然改變」。</w:t>
      </w:r>
    </w:p>
    <w:p>
      <w:pPr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現有研究能協助我們辨識正向社交、害怕／焦慮、高度喚起、疼痛風險與資源衝突等狀態，但不能把一聲喵或一個尾巴動作固定翻成一句人話。這份指南刻意使用「較可能」「需要搭配」與「需排除」等表述，避免把機率性線索說成確定答案。[1–6]</w:t>
      </w:r>
    </w:p>
    <w:p>
      <w:pPr>
        <w:pStyle w:val="Heading2"/>
        <w:keepNext/>
      </w:pPr>
      <w:r>
        <w:t>四步判讀法</w:t>
      </w:r>
    </w:p>
    <w:p>
      <w:pPr>
        <w:pStyle w:val="ListNumber"/>
      </w:pPr>
      <w:r>
        <w:rPr>
          <w:rFonts w:ascii="Hiragino Sans GB" w:hAnsi="Hiragino Sans GB" w:eastAsia="Hiragino Sans GB"/>
          <w:color w:val="211D1A"/>
          <w:sz w:val="22"/>
        </w:rPr>
        <w:t>看整體：先看身體是柔軟還是緊繃，再看耳、尾、眼、鬍鬚與聲音。</w:t>
      </w:r>
    </w:p>
    <w:p>
      <w:pPr>
        <w:pStyle w:val="ListNumber"/>
      </w:pPr>
      <w:r>
        <w:rPr>
          <w:rFonts w:ascii="Hiragino Sans GB" w:hAnsi="Hiragino Sans GB" w:eastAsia="Hiragino Sans GB"/>
          <w:color w:val="211D1A"/>
          <w:sz w:val="22"/>
        </w:rPr>
        <w:t>看組合：至少兩到三個方向一致的訊號，才提高判讀信心。</w:t>
      </w:r>
    </w:p>
    <w:p>
      <w:pPr>
        <w:pStyle w:val="ListNumber"/>
      </w:pPr>
      <w:r>
        <w:rPr>
          <w:rFonts w:ascii="Hiragino Sans GB" w:hAnsi="Hiragino Sans GB" w:eastAsia="Hiragino Sans GB"/>
          <w:color w:val="211D1A"/>
          <w:sz w:val="22"/>
        </w:rPr>
        <w:t>看情境：光線會影響瞳孔；觸摸、陌生刺激、食物期待與疼痛會改變同一動作的含義。</w:t>
      </w:r>
    </w:p>
    <w:p>
      <w:pPr>
        <w:pStyle w:val="ListNumber"/>
      </w:pPr>
      <w:r>
        <w:rPr>
          <w:rFonts w:ascii="Hiragino Sans GB" w:hAnsi="Hiragino Sans GB" w:eastAsia="Hiragino Sans GB"/>
          <w:color w:val="211D1A"/>
          <w:sz w:val="22"/>
        </w:rPr>
        <w:t>看變化：和平常基準相比，突然躲藏、不吃、亂尿、不願跳或攻擊，應先考慮健康與壓力。</w:t>
      </w:r>
    </w:p>
    <w:p>
      <w:pPr>
        <w:pStyle w:val="Heading2"/>
        <w:keepNext/>
      </w:pPr>
      <w:r>
        <w:t>證據等級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900"/>
        <w:gridCol w:w="556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等級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使用方式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代表資料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A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可作為較強提示，但仍不能單獨診斷。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經驗證量表、控制實驗或明確行為研究，例如 Feline Grimace Scale、慢眨眼實驗。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B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適合形成照護建議與情境判讀。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同儕審查觀察研究、專業臨床指南與獸醫機構資料。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C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只作為探索提示，需特別依賴個體基準。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常見照護解讀、研究仍有限或高度依情境而變的動作。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</w:pPr>
      <w:r>
        <w:t>快速辨識：放鬆與正向社交</w:t>
      </w:r>
    </w:p>
    <w:p>
      <w:pPr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以下訊號在彼此一致、身體柔軟且貓可自由離開時，較支持安全與正向互動。[2–4, 7]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200"/>
        <w:gridCol w:w="2600"/>
        <w:gridCol w:w="331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訊號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較可能代表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照護者怎麼做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限制／反例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尾巴直立並靠近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社交接近、願意互動（B）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停下讓牠先嗅聞；讓牠決定距離。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不是固定的「開心」標誌；社會關係與情境會影響使用。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慢慢眨眼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正向情緒溝通、較願意接近（A）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可慢眨回應並稍微移開凝視。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單側瞇眼、分泌物或持續閉眼需排除眼部不適。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耳朵自然向前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放鬆或對環境有興趣（B）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保持緩慢、可預測的互動。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若身體緊、瞳孔大，可能是高度注意而非放鬆。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身體柔軟、伸展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較安全、休息或舒適（B）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安靜陪伴；不要因露肚就直接摸腹部。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腹部暴露若伴隨緊繃、四肢準備踢，可能是防禦。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臉頰／身體磨蹭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氣味標記，也常見於熟悉的社交互動（B）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讓牠主動磨蹭；可輕撫頭頸。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反覆、急促磨蹭並伴隨踱步或大叫，可能是挫折。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咕嚕＋全身放鬆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常見於舒適、接觸維持或要求互動（B）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以整體姿勢與情境確認。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疼痛、緊張與臨終狀態也可能咕嚕；不能單獨視為開心。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</w:pPr>
      <w:r>
        <w:t>快速辨識：好奇、狩獵與玩耍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200"/>
        <w:gridCol w:w="2600"/>
        <w:gridCol w:w="331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訊號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較可能代表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照護者怎麼做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限制／反例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耳朵向前、鬍鬚前伸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注意力朝向刺激、探索或狩獵準備（B）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讓牠觀察；提供距離與退路。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若身體壓低且僵硬，可能是恐懼或衝突。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瞳孔放大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喚起程度提高；可能是玩耍、驚訝、恐懼或疼痛（B）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先確認光線，再看全身與觸發事件。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昏暗環境自然會放大瞳孔，不能單獨判讀情緒。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盯住、屁股扭動、撲擊玩具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狩獵序列與遊戲（B）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用逗貓棒模擬獵物，讓牠成功捕捉後結束。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不要用手腳當玩具；對另一隻貓的追逐需確認是否互惠。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對窗外快速顫顎／喀喀聲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常見於看到獵物時的高度注意（C）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提供安全觀察位置與室內遊戲。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功能尚未有單一確定結論，不宜翻成固定語句。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互惠摔抱、少叫聲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較接近社交玩耍（A/B）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確認角色輪替、身體鬆、結束後可恢復平靜。</w:t>
            </w:r>
          </w:p>
        </w:tc>
        <w:tc>
          <w:tcPr>
            <w:tcW w:type="dxa" w:w="33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若只有一方追、堵路或持續叫喊，可能已變成衝突。</w:t>
            </w:r>
          </w:p>
        </w:tc>
      </w:tr>
    </w:tbl>
    <w:p>
      <w:pPr>
        <w:pStyle w:val="TableCitation"/>
      </w:pPr>
    </w:p>
    <w:p>
      <w:pPr>
        <w:pStyle w:val="Heading2"/>
        <w:keepNext/>
      </w:pPr>
      <w:r>
        <w:t>玩耍還是打架？</w:t>
      </w:r>
    </w:p>
    <w:p>
      <w:pPr>
        <w:shd w:fill="F2F4F7"/>
        <w:pBdr>
          <w:top w:val="single" w:sz="4" w:space="8" w:color="AFAFAF"/>
          <w:left w:val="single" w:sz="4" w:space="8" w:color="AFAFAF"/>
          <w:bottom w:val="single" w:sz="4" w:space="8" w:color="AFAFAF"/>
          <w:right w:val="single" w:sz="4" w:space="8" w:color="AFAFAF"/>
        </w:pBdr>
        <w:spacing w:before="120" w:after="240" w:line="288" w:lineRule="auto"/>
        <w:ind w:left="115" w:right="115"/>
      </w:pPr>
      <w:r>
        <w:rPr>
          <w:rFonts w:ascii="Hiragino Sans GB" w:hAnsi="Hiragino Sans GB" w:eastAsia="Hiragino Sans GB"/>
          <w:b/>
          <w:color w:val="2E74B5"/>
          <w:sz w:val="20"/>
        </w:rPr>
        <w:t xml:space="preserve">研究提示  </w:t>
      </w:r>
      <w:r>
        <w:rPr>
          <w:rFonts w:ascii="Hiragino Sans GB" w:hAnsi="Hiragino Sans GB" w:eastAsia="Hiragino Sans GB"/>
          <w:color w:val="211D1A"/>
          <w:sz w:val="21"/>
        </w:rPr>
        <w:t>一項分析 105 組雙貓互動的研究發現，互惠摔抱最接近玩耍；叫聲與追逐較接近對抗。研究也辨識出「中間型」互動，說明並非所有片段都能二分為玩或打。[6]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較像玩耍：角色交換、動作有停頓、身體相對放鬆、咬合受抑制、叫聲少。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較像衝突：非互惠追逐、堵住資源或通道、凝視、低吼／嘶叫、尾巴膨起、互動後仍躲避。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安全做法：不要徒手拉開；以屏障或遠距離方式中斷，讓雙方分開冷靜並檢查受傷。</w:t>
      </w:r>
    </w:p>
    <w:p>
      <w:pPr>
        <w:pStyle w:val="Heading1"/>
        <w:keepNext/>
      </w:pPr>
      <w:r>
        <w:t>快速辨識：擔心、害怕與防禦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320"/>
        <w:gridCol w:w="2820"/>
        <w:gridCol w:w="297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訊號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較可能代表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照護者怎麼做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避免做什麼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身體壓低蜷縮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降低能見度、準備逃避，常見於擔心或害怕（B）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停止靠近，提供可躲藏的箱子、高處或外出籠。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不要把牠從躲藏處拖出來。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尾巴貼身或捲住身體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緊張、試圖保護身體（B）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降低聲音、光線與人流。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不要強抱或逼牠面對刺激。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耳朵轉向側後／壓平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警戒、害怕或防禦升級（B）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拉開距離，等待耳位與肌肉放鬆。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不要凝視、伸手靠近臉部。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拱背、側身、毛豎起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使體型看起來更大，常見於強烈恐懼或防禦（B）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給出清楚退路並遠離。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不要追逐、處罰或大聲喝斥。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嘶聲、低吼、抬起前掌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明確的距離增加訊號，可能即將揮擊（B）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立刻停止互動，讓牠退開。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不要把嘶聲解讀成壞脾氣。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躲藏</w:t>
            </w:r>
          </w:p>
        </w:tc>
        <w:tc>
          <w:tcPr>
            <w:tcW w:type="dxa" w:w="2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壓力下的正常因應方式，也可能是疼痛／疾病線索（B）</w:t>
            </w:r>
          </w:p>
        </w:tc>
        <w:tc>
          <w:tcPr>
            <w:tcW w:type="dxa" w:w="2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保留安全處並觀察食慾、排泄與日常活動。</w:t>
            </w:r>
          </w:p>
        </w:tc>
        <w:tc>
          <w:tcPr>
            <w:tcW w:type="dxa" w:w="29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若突然增加或伴隨生理變化，不要只當個性問題。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</w:pPr>
      <w:r>
        <w:t>快速辨識：過度刺激、挫折與衝突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400"/>
        <w:gridCol w:w="2800"/>
        <w:gridCol w:w="27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訊號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較可能代表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建議回應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注意事項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尾巴快速、大幅拍打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喚起升高、挫折或觸摸耐受度降低（B）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立即暫停撫摸，讓牠自行離開。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細小尾尖移動可能只是專注；速度和全身張力很重要。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皮膚抽動、耳朵側轉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接觸刺激累積、注意力轉向（B）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把手移開，不要測試「還能摸多久」。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若頻繁發生或伴隨疼痛，請諮詢獸醫。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突然回頭咬／抓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可能是過度刺激、疼痛、恐懼或低接觸耐受（B）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記錄觸摸部位與前兆；改為短暫、由貓主動的互動。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不是毫無預警；常有細微前兆。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踱步、急促磨蹭、大叫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挫折或高度期待，也可能是發情、甲狀腺或認知問題（B）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檢查需求與環境；突然出現或持續時就醫。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不要只用食物或注意力壓下行為而忽略原因。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噴尿：站立、尾巴顫動、對垂直面少量排尿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氣味標記；可能受領域威脅、壓力或性荷爾蒙影響（B）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先做醫療檢查，再改善資源分布與外來貓刺激。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不要處罰；處罰可能增加焦慮。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</w:pPr>
      <w:r>
        <w:t>正常行為，不等於不需要理解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4550"/>
        <w:gridCol w:w="356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行為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功能／較可能含義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何時值得關注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抓抓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天生的伸展、磨除爪鞘、視覺與氣味標記行為。[8]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抓點突然改變、減少或只抓低處，可能與活動力或疼痛相關。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磨蹭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在物體或熟悉對象留下臉部／身體氣味，也可出現在正向社交。[1, 8]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若伴隨急躁、踱步、叫聲或其他異常，需看整體情境。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踩奶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常見於舒適、熟悉接觸或氣味標記情境；個體差異大（C）。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若伴隨啃食布料、皮膚受傷或難以中斷，請諮詢專業人士。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舔毛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日常整理與氣味維持；也可能是轉移／自我安撫行為。[9]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脫毛、紅腫、破皮、局部集中舔或突然大增，需要先排除搔癢與疼痛。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躲藏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面對威脅時的因應策略；安全躲藏處可提升控制感。[1]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突然長時間躲藏，尤其伴隨不吃、活動下降或排泄改變。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亂尿／排便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可能是砂盆偏好、資源衝突、壓力或醫療問題；不是報復。[10]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任何突然改變都應先做獸醫檢查，尤其頻繁進出砂盆卻排不出尿。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  <w:keepNext/>
      </w:pPr>
      <w:r>
        <w:t>疼痛與健康警訊</w:t>
      </w:r>
    </w:p>
    <w:p>
      <w:pPr>
        <w:shd w:fill="FDEDE8"/>
        <w:pBdr>
          <w:top w:val="single" w:sz="4" w:space="8" w:color="AFAFAF"/>
          <w:left w:val="single" w:sz="4" w:space="8" w:color="AFAFAF"/>
          <w:bottom w:val="single" w:sz="4" w:space="8" w:color="AFAFAF"/>
          <w:right w:val="single" w:sz="4" w:space="8" w:color="AFAFAF"/>
        </w:pBdr>
        <w:spacing w:before="120" w:after="240" w:line="288" w:lineRule="auto"/>
        <w:ind w:left="115" w:right="115"/>
      </w:pPr>
      <w:r>
        <w:rPr>
          <w:rFonts w:ascii="Hiragino Sans GB" w:hAnsi="Hiragino Sans GB" w:eastAsia="Hiragino Sans GB"/>
          <w:b/>
          <w:color w:val="D94F2B"/>
          <w:sz w:val="20"/>
        </w:rPr>
        <w:t xml:space="preserve">重要  </w:t>
      </w:r>
      <w:r>
        <w:rPr>
          <w:rFonts w:ascii="Hiragino Sans GB" w:hAnsi="Hiragino Sans GB" w:eastAsia="Hiragino Sans GB"/>
          <w:color w:val="211D1A"/>
          <w:sz w:val="21"/>
        </w:rPr>
        <w:t>貓常會隱藏虛弱與疼痛。行為改變可能比明顯叫痛更早出現；網站或本指南不能取代臨床檢查。[1, 5]</w:t>
      </w:r>
    </w:p>
    <w:p>
      <w:pPr>
        <w:pStyle w:val="Heading2"/>
        <w:keepNext/>
      </w:pPr>
      <w:r>
        <w:t>Feline Grimace Scale 的五個臉部行動單元</w:t>
      </w:r>
    </w:p>
    <w:p>
      <w:pPr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Feline Grimace Scale（FGS）在自然發生急性疼痛的貓中完成建立與驗證。五項線索各評 0–2 分：耳位、眼眶收緊、口鼻張力、鬍鬚位置與頭部位置。原始研究中，FGS 與另一個急性疼痛量表高度相關，也能反映止痛後的變化。[5]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4300"/>
        <w:gridCol w:w="3660"/>
      </w:tblGrid>
      <w:tr>
        <w:trPr>
          <w:tblHeader w:val="true"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臉部線索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疼痛相關變化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觀察提醒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耳朵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耳尖分開、向外旋轉或壓低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需要和眼、口鼻、鬍鬚及頭位一起評估。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眼睛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眼眶收緊、瞇眼或緊閉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單側瞇眼也可能是眼部疾病；需就醫。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口鼻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從圓潤變得緊繃、扁平或橢圓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品種頭型可能影響外觀。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鬍鬚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變直、前伸、呈刺狀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興奮／狩獵時也可能前伸，需搭配其他單元。</w:t>
            </w:r>
          </w:p>
        </w:tc>
      </w:tr>
      <w:tr>
        <w:trPr>
          <w:cantSplit/>
        </w:trP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頭位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頭低於肩線或下垂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疲倦、鎮靜或環境也可能影響姿勢。</w:t>
            </w:r>
          </w:p>
        </w:tc>
      </w:tr>
    </w:tbl>
    <w:p>
      <w:pPr>
        <w:pStyle w:val="TableCitation"/>
      </w:pPr>
    </w:p>
    <w:p>
      <w:pPr>
        <w:pStyle w:val="TableCitation"/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FGS 是臨床疼痛評估工具，不應由網站把幾個勾選結果直接轉成診斷。原始研究的介入門檻與計分方式應由獸醫或經訓練人員使用。</w:t>
      </w:r>
    </w:p>
    <w:p>
      <w:pPr>
        <w:pStyle w:val="Heading2"/>
        <w:keepNext/>
      </w:pPr>
      <w:r>
        <w:t>何時應諮詢獸醫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行為與平常不同且持續：躲藏、攻擊、活動或互動大幅下降。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食慾下降、體重改變、嘔吐／腹瀉、飲水或排尿量改變。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不願跳躍、跛行、碰觸特定位置會躲或攻擊。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過度舔毛、脫毛、皮膚紅腫或傷口。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在砂盆外排泄、頻繁進出砂盆、排尿用力或叫聲。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臉部疼痛表情持續，或與呼吸、活動與食慾異常同時出現。</w:t>
      </w:r>
    </w:p>
    <w:p>
      <w:pPr>
        <w:shd w:fill="FDEDE8"/>
        <w:pBdr>
          <w:top w:val="single" w:sz="4" w:space="8" w:color="AFAFAF"/>
          <w:left w:val="single" w:sz="4" w:space="8" w:color="AFAFAF"/>
          <w:bottom w:val="single" w:sz="4" w:space="8" w:color="AFAFAF"/>
          <w:right w:val="single" w:sz="4" w:space="8" w:color="AFAFAF"/>
        </w:pBdr>
        <w:spacing w:before="120" w:after="240" w:line="288" w:lineRule="auto"/>
        <w:ind w:left="115" w:right="115"/>
      </w:pPr>
      <w:r>
        <w:rPr>
          <w:rFonts w:ascii="Hiragino Sans GB" w:hAnsi="Hiragino Sans GB" w:eastAsia="Hiragino Sans GB"/>
          <w:b/>
          <w:color w:val="D94F2B"/>
          <w:sz w:val="20"/>
        </w:rPr>
        <w:t xml:space="preserve">緊急警訊  </w:t>
      </w:r>
      <w:r>
        <w:rPr>
          <w:rFonts w:ascii="Hiragino Sans GB" w:hAnsi="Hiragino Sans GB" w:eastAsia="Hiragino Sans GB"/>
          <w:color w:val="211D1A"/>
          <w:sz w:val="21"/>
        </w:rPr>
        <w:t>呼吸費力或張口呼吸、無法排尿、昏厥、癲癇、嚴重外傷、持續嘔吐、明顯虛弱或意識改變，應立即尋求急診獸醫協助。</w:t>
      </w:r>
    </w:p>
    <w:p>
      <w:pPr>
        <w:pStyle w:val="Heading1"/>
        <w:keepNext/>
      </w:pPr>
      <w:r>
        <w:t>把研究轉成網站判讀規則</w:t>
      </w:r>
    </w:p>
    <w:p>
      <w:pPr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網站採用加權線索群組，而不是「一個按鈕＝一句翻譯」。使用者各選一項身體姿勢、耳位、尾巴、臉部與情境；系統把線索彙整成五種可能狀態，並顯示判讀信心。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910"/>
        <w:gridCol w:w="360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可能狀態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主要線索群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網站輸出原則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放鬆／正向社交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身體柔軟、耳朵自然、慢眨眼、直尾接近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鼓勵由貓主動、可隨時結束的互動。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好奇／注意提高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耳與鬍鬚向前、瞳孔變化、探索姿勢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先排除光線；維持距離與退路。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害怕／焦慮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壓低蜷縮、尾巴貼身、耳朵後轉／壓平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停止逼近，提供躲藏與可預測環境。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高度喚起／過度刺激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快速甩尾、肌肉緊、壓耳、叫聲或非互惠追逐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停止觸摸或衝突，避免徒手介入。</w:t>
            </w:r>
          </w:p>
        </w:tc>
      </w:tr>
      <w:tr>
        <w:trPr>
          <w:cantSplit/>
        </w:trPr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疼痛風險</w:t>
            </w:r>
          </w:p>
        </w:tc>
        <w:tc>
          <w:tcPr>
            <w:tcW w:type="dxa" w:w="3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FGS 臉部線索、突然行為改變、活動／食慾／排泄異常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11D1A"/>
                <w:sz w:val="18"/>
              </w:rPr>
              <w:t>明確標示不能診斷，建議記錄並諮詢獸醫。</w:t>
            </w:r>
          </w:p>
        </w:tc>
      </w:tr>
    </w:tbl>
    <w:p>
      <w:pPr>
        <w:pStyle w:val="TableCitation"/>
      </w:pPr>
    </w:p>
    <w:p>
      <w:pPr>
        <w:pStyle w:val="Heading2"/>
        <w:keepNext/>
      </w:pPr>
      <w:r>
        <w:t>判讀限制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不同個體、品種、年齡、早期社會化與生活經驗會改變訊號表現。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照片會失去時間序列與情境；短片通常比單張照片更有價值。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瞳孔受光線影響；耳、鬍鬚與臉型也可能受品種外觀影響。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同一行為可能同時服務多個功能，例如咕嚕、磨蹭、舔毛與躲藏。</w:t>
      </w:r>
    </w:p>
    <w:p>
      <w:pPr>
        <w:pStyle w:val="ListBullet"/>
        <w:ind w:left="540" w:hanging="271"/>
      </w:pPr>
      <w:r>
        <w:rPr>
          <w:rFonts w:ascii="Hiragino Sans GB" w:hAnsi="Hiragino Sans GB" w:eastAsia="Hiragino Sans GB"/>
          <w:color w:val="211D1A"/>
          <w:sz w:val="22"/>
        </w:rPr>
        <w:t>線上工具最多提供教育性提示，不能排除疼痛、神經、皮膚、內分泌或泌尿疾病。</w:t>
      </w:r>
    </w:p>
    <w:p>
      <w:pPr>
        <w:pStyle w:val="Heading1"/>
        <w:keepNext/>
      </w:pPr>
      <w:r>
        <w:t>參考資料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[1] </w:t>
      </w:r>
      <w:r>
        <w:rPr>
          <w:rFonts w:ascii="Hiragino Sans GB" w:hAnsi="Hiragino Sans GB" w:eastAsia="Hiragino Sans GB"/>
          <w:color w:val="211D1A"/>
          <w:sz w:val="19"/>
        </w:rPr>
        <w:t xml:space="preserve">Ellis SLH, Rodan I, Carney HC, et al. AAFP and ISFM Feline Environmental Needs Guidelines. Journal of Feline Medicine and Surgery. 2013;15(3):219–230.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https://pmc.ncbi.nlm.nih.gov/articles/PMC11383066/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[2] </w:t>
      </w:r>
      <w:r>
        <w:rPr>
          <w:rFonts w:ascii="Hiragino Sans GB" w:hAnsi="Hiragino Sans GB" w:eastAsia="Hiragino Sans GB"/>
          <w:color w:val="211D1A"/>
          <w:sz w:val="19"/>
        </w:rPr>
        <w:t xml:space="preserve">Humphrey T, Proops L, Forman J, Spooner R, McComb K. The role of cat eye narrowing movements in cat–human communication. Scientific Reports. 2020;10:16503. </w:t>
      </w:r>
      <w:r>
        <w:rPr>
          <w:rFonts w:ascii="Hiragino Sans GB" w:hAnsi="Hiragino Sans GB" w:eastAsia="Hiragino Sans GB"/>
          <w:color w:val="1F4D78"/>
          <w:sz w:val="17"/>
        </w:rPr>
        <w:t>https://pubmed.ncbi.nlm.nih.gov/33020542/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[3] </w:t>
      </w:r>
      <w:r>
        <w:rPr>
          <w:rFonts w:ascii="Hiragino Sans GB" w:hAnsi="Hiragino Sans GB" w:eastAsia="Hiragino Sans GB"/>
          <w:color w:val="211D1A"/>
          <w:sz w:val="19"/>
        </w:rPr>
        <w:t xml:space="preserve">Deputte BL, Doll A. Heads and Tails: An Analysis of Visual Signals in Cats, Felis catus. Animals. 2021;11(9):2752.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https://pmc.ncbi.nlm.nih.gov/articles/PMC8469685/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[4] </w:t>
      </w:r>
      <w:r>
        <w:rPr>
          <w:rFonts w:ascii="Hiragino Sans GB" w:hAnsi="Hiragino Sans GB" w:eastAsia="Hiragino Sans GB"/>
          <w:color w:val="211D1A"/>
          <w:sz w:val="19"/>
        </w:rPr>
        <w:t xml:space="preserve">Cats Protection. Cat Body Language. 專業照護資訊頁面。 </w:t>
      </w:r>
      <w:r>
        <w:rPr>
          <w:rFonts w:ascii="Hiragino Sans GB" w:hAnsi="Hiragino Sans GB" w:eastAsia="Hiragino Sans GB"/>
          <w:color w:val="1F4D78"/>
          <w:sz w:val="17"/>
        </w:rPr>
        <w:t>https://www.cats.org.uk/help-and-advice/cat-behaviour/cat-body-language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[5] </w:t>
      </w:r>
      <w:r>
        <w:rPr>
          <w:rFonts w:ascii="Hiragino Sans GB" w:hAnsi="Hiragino Sans GB" w:eastAsia="Hiragino Sans GB"/>
          <w:color w:val="211D1A"/>
          <w:sz w:val="19"/>
        </w:rPr>
        <w:t xml:space="preserve">Evangelista MC, Watanabe R, Leung VSY, et al. Facial expressions of pain in cats: the development and validation of a Feline Grimace Scale. Scientific Reports. 2019;9:19128.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https://pmc.ncbi.nlm.nih.gov/articles/PMC6911058/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[6] </w:t>
      </w:r>
      <w:r>
        <w:rPr>
          <w:rFonts w:ascii="Hiragino Sans GB" w:hAnsi="Hiragino Sans GB" w:eastAsia="Hiragino Sans GB"/>
          <w:color w:val="211D1A"/>
          <w:sz w:val="19"/>
        </w:rPr>
        <w:t xml:space="preserve">Gajdoš-Kmecová N, Peták I, Kottferová J, et al. An ethological analysis of close-contact inter-cat interactions determining if cats are playing, fighting, or something in between. Scientific Reports. 2023;13:92.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https://pmc.ncbi.nlm.nih.gov/articles/PMC9879969/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[7] </w:t>
      </w:r>
      <w:r>
        <w:rPr>
          <w:rFonts w:ascii="Hiragino Sans GB" w:hAnsi="Hiragino Sans GB" w:eastAsia="Hiragino Sans GB"/>
          <w:color w:val="211D1A"/>
          <w:sz w:val="19"/>
        </w:rPr>
        <w:t xml:space="preserve">RSPCA. Understanding Your Cat’s Behaviour／Cat Body Language. 動物福利照護指南。 </w:t>
      </w:r>
      <w:r>
        <w:rPr>
          <w:rFonts w:ascii="Hiragino Sans GB" w:hAnsi="Hiragino Sans GB" w:eastAsia="Hiragino Sans GB"/>
          <w:color w:val="1F4D78"/>
          <w:sz w:val="17"/>
        </w:rPr>
        <w:t>https://www.rspca.org.uk/adviceandwelfare/pets/cats/behaviour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[8] </w:t>
      </w:r>
      <w:r>
        <w:rPr>
          <w:rFonts w:ascii="Hiragino Sans GB" w:hAnsi="Hiragino Sans GB" w:eastAsia="Hiragino Sans GB"/>
          <w:color w:val="211D1A"/>
          <w:sz w:val="19"/>
        </w:rPr>
        <w:t xml:space="preserve">Cornell Feline Health Center. Feline Behavior Problems: Destructive Behavior／House Soiling. </w:t>
      </w:r>
      <w:r>
        <w:rPr>
          <w:rFonts w:ascii="Hiragino Sans GB" w:hAnsi="Hiragino Sans GB" w:eastAsia="Hiragino Sans GB"/>
          <w:color w:val="1F4D78"/>
          <w:sz w:val="17"/>
        </w:rPr>
        <w:t>https://www.vet.cornell.edu/departments-centers-and-institutes/cornell-feline-health-center/health-information/feline-health-topics/feline-behavior-problems-destructive-behavior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[9] </w:t>
      </w:r>
      <w:r>
        <w:rPr>
          <w:rFonts w:ascii="Hiragino Sans GB" w:hAnsi="Hiragino Sans GB" w:eastAsia="Hiragino Sans GB"/>
          <w:color w:val="211D1A"/>
          <w:sz w:val="19"/>
        </w:rPr>
        <w:t xml:space="preserve">Cornell Feline Health Center. Cats that Lick Too Much. </w:t>
      </w:r>
      <w:r>
        <w:rPr>
          <w:rFonts w:ascii="Hiragino Sans GB" w:hAnsi="Hiragino Sans GB" w:eastAsia="Hiragino Sans GB"/>
          <w:color w:val="1F4D78"/>
          <w:sz w:val="17"/>
        </w:rPr>
        <w:t>https://www.vet.cornell.edu/departments-centers-and-institutes/cornell-feline-health-center/health-information/feline-health-topics/cats-lick-too-much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[10] </w:t>
      </w:r>
      <w:r>
        <w:rPr>
          <w:rFonts w:ascii="Hiragino Sans GB" w:hAnsi="Hiragino Sans GB" w:eastAsia="Hiragino Sans GB"/>
          <w:color w:val="211D1A"/>
          <w:sz w:val="19"/>
        </w:rPr>
        <w:t xml:space="preserve">Carney HC, Sadek TP, Curtis TM, et al. AAFP and ISFM Guidelines for Diagnosing and Solving House-Soiling Behavior in Cats. Journal of Feline Medicine and Surgery.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https://pmc.ncbi.nlm.nih.gov/articles/PMC11104062/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[11] </w:t>
      </w:r>
      <w:r>
        <w:rPr>
          <w:rFonts w:ascii="Hiragino Sans GB" w:hAnsi="Hiragino Sans GB" w:eastAsia="Hiragino Sans GB"/>
          <w:color w:val="211D1A"/>
          <w:sz w:val="19"/>
        </w:rPr>
        <w:t xml:space="preserve">Tavernier C, Ahmed S, Houpt KA, Yeon SC. Feline vocal communication. Journal of Veterinary Science. 2020;21(1):e18.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https://pmc.ncbi.nlm.nih.gov/articles/PMC7000907/</w:t>
      </w:r>
    </w:p>
    <w:p>
      <w:pPr>
        <w:spacing w:after="160" w:line="276" w:lineRule="auto"/>
      </w:pPr>
      <w:r>
        <w:rPr>
          <w:rFonts w:ascii="Hiragino Sans GB" w:hAnsi="Hiragino Sans GB" w:eastAsia="Hiragino Sans GB"/>
          <w:b/>
          <w:color w:val="2E74B5"/>
          <w:sz w:val="19"/>
        </w:rPr>
        <w:t xml:space="preserve">[12] </w:t>
      </w:r>
      <w:r>
        <w:rPr>
          <w:rFonts w:ascii="Hiragino Sans GB" w:hAnsi="Hiragino Sans GB" w:eastAsia="Hiragino Sans GB"/>
          <w:color w:val="211D1A"/>
          <w:sz w:val="19"/>
        </w:rPr>
        <w:t xml:space="preserve">2024 AAFP Intercat Tension Guidelines: Recognition, Prevention and Management. Journal of Feline Medicine and Surgery. </w:t>
      </w:r>
      <w:r>
        <w:rPr>
          <w:rFonts w:ascii="Hiragino Sans GB" w:hAnsi="Hiragino Sans GB" w:eastAsia="Hiragino Sans GB"/>
          <w:color w:val="1F4D78"/>
          <w:sz w:val="17"/>
        </w:rPr>
        <w:t>https://pmc.ncbi.nlm.nih.gov/articles/PMC11292941/</w:t>
      </w:r>
    </w:p>
    <w:p>
      <w:pPr>
        <w:pStyle w:val="Heading2"/>
        <w:keepNext/>
      </w:pPr>
      <w:r>
        <w:t>使用聲明</w:t>
      </w:r>
    </w:p>
    <w:p>
      <w:pPr>
        <w:keepNext w:val="0"/>
        <w:spacing w:before="0" w:after="120"/>
      </w:pPr>
      <w:r>
        <w:rPr>
          <w:rFonts w:ascii="Hiragino Sans GB" w:hAnsi="Hiragino Sans GB" w:eastAsia="Hiragino Sans GB"/>
          <w:color w:val="211D1A"/>
          <w:sz w:val="22"/>
        </w:rPr>
        <w:t>本指南為教育與產品設計用途，整理公開研究與專業機構資料；不是診斷、治療或個別行為諮詢。若貓咪出現突然或持續的行為改變、疼痛線索或緊急症狀，請聯絡合格獸醫師。資料會隨研究進展更新。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iragino Sans GB" w:hAnsi="Hiragino Sans GB" w:eastAsia="Hiragino Sans GB"/>
        <w:color w:val="666666"/>
        <w:sz w:val="16"/>
      </w:rPr>
      <w:t>教育用途 · 不取代獸醫診斷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Hiragino Sans GB" w:hAnsi="Hiragino Sans GB" w:eastAsia="Hiragino Sans GB"/>
        <w:b/>
        <w:color w:val="666666"/>
        <w:sz w:val="17"/>
      </w:rPr>
      <w:t>貓語行為觀察室  |  研究與照護指南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b w:val="0"/>
      <w:color w:val="211D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11D1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b w:val="0"/>
      <w:color w:val="211D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b w:val="0"/>
      <w:color w:val="211D1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 Meta"/>
    <w:pPr>
      <w:spacing w:after="80" w:line="264" w:lineRule="auto"/>
    </w:pPr>
    <w:rPr>
      <w:rFonts w:ascii="Hiragino Sans GB" w:hAnsi="Hiragino Sans GB" w:eastAsia="Hiragino Sans GB"/>
      <w:b w:val="0"/>
      <w:color w:val="666666"/>
      <w:sz w:val="17"/>
    </w:rPr>
  </w:style>
  <w:style w:type="paragraph" w:customStyle="1" w:styleId="TableCitation">
    <w:name w:val="Table Citation"/>
    <w:pPr>
      <w:spacing w:before="80" w:after="80"/>
    </w:pPr>
    <w:rPr>
      <w:rFonts w:ascii="Hiragino Sans GB" w:hAnsi="Hiragino Sans GB" w:eastAsia="Hiragino Sans GB"/>
      <w:b w:val="0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