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E81D" w14:textId="71F61BE9" w:rsidR="00D466BB" w:rsidRPr="001260BC" w:rsidRDefault="001260BC" w:rsidP="001260BC">
      <w:pPr>
        <w:jc w:val="center"/>
        <w:rPr>
          <w:b/>
          <w:bCs/>
          <w:u w:val="single"/>
        </w:rPr>
      </w:pPr>
      <w:r w:rsidRPr="001260BC">
        <w:rPr>
          <w:b/>
          <w:bCs/>
          <w:u w:val="single"/>
        </w:rPr>
        <w:t>Data Warehousing &amp; Business Intelligence</w:t>
      </w:r>
    </w:p>
    <w:p w14:paraId="0433D604" w14:textId="0DAA7648" w:rsidR="001260BC" w:rsidRPr="001260BC" w:rsidRDefault="001260BC" w:rsidP="001260BC">
      <w:pPr>
        <w:jc w:val="center"/>
        <w:rPr>
          <w:b/>
          <w:bCs/>
          <w:u w:val="single"/>
        </w:rPr>
      </w:pPr>
      <w:r w:rsidRPr="001260BC">
        <w:rPr>
          <w:b/>
          <w:bCs/>
          <w:u w:val="single"/>
        </w:rPr>
        <w:t>7BUIS010W</w:t>
      </w:r>
    </w:p>
    <w:p w14:paraId="0F9A2BB9" w14:textId="03955A70" w:rsidR="001260BC" w:rsidRPr="001260BC" w:rsidRDefault="001260BC" w:rsidP="001260BC">
      <w:pPr>
        <w:jc w:val="center"/>
        <w:rPr>
          <w:b/>
          <w:bCs/>
          <w:u w:val="single"/>
        </w:rPr>
      </w:pPr>
      <w:r w:rsidRPr="001260BC">
        <w:rPr>
          <w:b/>
          <w:bCs/>
          <w:u w:val="single"/>
        </w:rPr>
        <w:t>Assessment 2</w:t>
      </w:r>
    </w:p>
    <w:p w14:paraId="1C980566" w14:textId="4CC60F97" w:rsidR="001260BC" w:rsidRPr="001260BC" w:rsidRDefault="001260BC" w:rsidP="001260BC">
      <w:pPr>
        <w:jc w:val="center"/>
        <w:rPr>
          <w:b/>
          <w:bCs/>
          <w:u w:val="single"/>
        </w:rPr>
      </w:pPr>
    </w:p>
    <w:p w14:paraId="0B70E19B" w14:textId="77777777" w:rsidR="001260BC" w:rsidRPr="001260BC" w:rsidRDefault="001260BC" w:rsidP="001260BC">
      <w:pPr>
        <w:jc w:val="center"/>
        <w:rPr>
          <w:b/>
          <w:bCs/>
          <w:u w:val="single"/>
        </w:rPr>
      </w:pPr>
    </w:p>
    <w:sdt>
      <w:sdtPr>
        <w:rPr>
          <w:rFonts w:asciiTheme="minorHAnsi" w:hAnsiTheme="minorHAnsi"/>
        </w:rPr>
        <w:id w:val="-1187441298"/>
        <w:docPartObj>
          <w:docPartGallery w:val="Table of Contents"/>
          <w:docPartUnique/>
        </w:docPartObj>
      </w:sdtPr>
      <w:sdtEndPr>
        <w:rPr>
          <w:rFonts w:eastAsiaTheme="minorHAnsi" w:cstheme="minorBidi"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2602EE88" w14:textId="41C06EB4" w:rsidR="001260BC" w:rsidRPr="001260BC" w:rsidRDefault="001260BC">
          <w:pPr>
            <w:pStyle w:val="TOCHeading"/>
            <w:rPr>
              <w:rFonts w:asciiTheme="minorHAnsi" w:hAnsiTheme="minorHAnsi"/>
            </w:rPr>
          </w:pPr>
          <w:r w:rsidRPr="001260BC">
            <w:rPr>
              <w:rFonts w:asciiTheme="minorHAnsi" w:hAnsiTheme="minorHAnsi"/>
            </w:rPr>
            <w:t>Table of Contents</w:t>
          </w:r>
        </w:p>
        <w:p w14:paraId="39496F93" w14:textId="0356A60E" w:rsidR="001260BC" w:rsidRDefault="001260BC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r w:rsidRPr="001260BC">
            <w:rPr>
              <w:b w:val="0"/>
              <w:bCs w:val="0"/>
            </w:rPr>
            <w:fldChar w:fldCharType="begin"/>
          </w:r>
          <w:r w:rsidRPr="001260BC">
            <w:instrText xml:space="preserve"> TOC \o "1-3" \h \z \u </w:instrText>
          </w:r>
          <w:r w:rsidRPr="001260BC">
            <w:rPr>
              <w:b w:val="0"/>
              <w:bCs w:val="0"/>
            </w:rPr>
            <w:fldChar w:fldCharType="separate"/>
          </w:r>
          <w:hyperlink w:anchor="_Toc226212758" w:history="1">
            <w:r w:rsidRPr="00362C05">
              <w:rPr>
                <w:rStyle w:val="Hyperlink"/>
                <w:noProof/>
              </w:rPr>
              <w:t>Task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A32BE" w14:textId="156C0073" w:rsidR="001260BC" w:rsidRDefault="001260B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6212759" w:history="1">
            <w:r w:rsidRPr="00362C05">
              <w:rPr>
                <w:rStyle w:val="Hyperlink"/>
                <w:noProof/>
              </w:rPr>
              <w:t>Figure 1-Tickers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982C9" w14:textId="76C04550" w:rsidR="001260BC" w:rsidRDefault="001260B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6212760" w:history="1">
            <w:r w:rsidRPr="00362C05">
              <w:rPr>
                <w:rStyle w:val="Hyperlink"/>
                <w:noProof/>
              </w:rPr>
              <w:t>Figure 2-Dataset Shape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B11BF" w14:textId="5332DD5D" w:rsidR="001260BC" w:rsidRDefault="001260B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6212761" w:history="1">
            <w:r w:rsidRPr="00362C05">
              <w:rPr>
                <w:rStyle w:val="Hyperlink"/>
                <w:noProof/>
              </w:rPr>
              <w:t>Figure 3-Cleaning (Before &amp; After)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46CC2" w14:textId="3241251D" w:rsidR="001260BC" w:rsidRDefault="001260B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6212762" w:history="1">
            <w:r w:rsidRPr="00362C05">
              <w:rPr>
                <w:rStyle w:val="Hyperlink"/>
                <w:noProof/>
              </w:rPr>
              <w:t>Figure 4-Daily Returns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D13EF" w14:textId="26FE02E2" w:rsidR="001260BC" w:rsidRDefault="001260B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6212763" w:history="1">
            <w:r w:rsidRPr="00362C05">
              <w:rPr>
                <w:rStyle w:val="Hyperlink"/>
                <w:noProof/>
              </w:rPr>
              <w:t>Figure 5-Beta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2A046" w14:textId="0C096A10" w:rsidR="001260BC" w:rsidRDefault="001260B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6212764" w:history="1">
            <w:r w:rsidRPr="00362C05">
              <w:rPr>
                <w:rStyle w:val="Hyperlink"/>
                <w:noProof/>
              </w:rPr>
              <w:t>Figure 6-Volatility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B7F36" w14:textId="2CB9177C" w:rsidR="001260BC" w:rsidRDefault="001260B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6212765" w:history="1">
            <w:r w:rsidRPr="00362C05">
              <w:rPr>
                <w:rStyle w:val="Hyperlink"/>
                <w:noProof/>
              </w:rPr>
              <w:t>Figure 7-Average Daily Returns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C1608" w14:textId="087BC656" w:rsidR="001260BC" w:rsidRDefault="001260B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6212766" w:history="1">
            <w:r w:rsidRPr="00362C05">
              <w:rPr>
                <w:rStyle w:val="Hyperlink"/>
                <w:noProof/>
              </w:rPr>
              <w:t>Figure 8-Summary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5FB75" w14:textId="0350E150" w:rsidR="001260BC" w:rsidRDefault="001260B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6212767" w:history="1">
            <w:r w:rsidRPr="00362C05">
              <w:rPr>
                <w:rStyle w:val="Hyperlink"/>
                <w:noProof/>
              </w:rPr>
              <w:t>Figure 9-Graph 1 (Beta Vs Return)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CAD71" w14:textId="4E864568" w:rsidR="001260BC" w:rsidRDefault="001260B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6212768" w:history="1">
            <w:r w:rsidRPr="00362C05">
              <w:rPr>
                <w:rStyle w:val="Hyperlink"/>
                <w:noProof/>
              </w:rPr>
              <w:t>Figure 10-Graph 2 (Volatility Distribution)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69E24" w14:textId="730AA601" w:rsidR="001260BC" w:rsidRDefault="001260BC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6212769" w:history="1">
            <w:r w:rsidRPr="00362C05">
              <w:rPr>
                <w:rStyle w:val="Hyperlink"/>
                <w:noProof/>
              </w:rPr>
              <w:t>Data Collection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DBFF7" w14:textId="6BCE17FA" w:rsidR="001260BC" w:rsidRDefault="001260B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6212770" w:history="1">
            <w:r w:rsidRPr="00362C05">
              <w:rPr>
                <w:rStyle w:val="Hyperlink"/>
                <w:noProof/>
              </w:rPr>
              <w:t>Data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A4E5B" w14:textId="6AFB2E6A" w:rsidR="001260BC" w:rsidRDefault="001260B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6212771" w:history="1">
            <w:r w:rsidRPr="00362C05">
              <w:rPr>
                <w:rStyle w:val="Hyperlink"/>
                <w:noProof/>
              </w:rPr>
              <w:t>Data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CDAEB" w14:textId="7B54A9DA" w:rsidR="001260BC" w:rsidRDefault="001260B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6212772" w:history="1">
            <w:r w:rsidRPr="00362C05">
              <w:rPr>
                <w:rStyle w:val="Hyperlink"/>
                <w:noProof/>
              </w:rPr>
              <w:t>Return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72564" w14:textId="3097BC1D" w:rsidR="001260BC" w:rsidRDefault="001260B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6212773" w:history="1">
            <w:r w:rsidRPr="00362C05">
              <w:rPr>
                <w:rStyle w:val="Hyperlink"/>
                <w:noProof/>
              </w:rPr>
              <w:t>Beta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33C2" w14:textId="6DDA8460" w:rsidR="001260BC" w:rsidRDefault="001260B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6212774" w:history="1">
            <w:r w:rsidRPr="00362C05">
              <w:rPr>
                <w:rStyle w:val="Hyperlink"/>
                <w:noProof/>
              </w:rPr>
              <w:t>Volatility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88FCA" w14:textId="0FDAE425" w:rsidR="001260BC" w:rsidRDefault="001260B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6212775" w:history="1">
            <w:r w:rsidRPr="00362C05">
              <w:rPr>
                <w:rStyle w:val="Hyperlink"/>
                <w:noProof/>
              </w:rPr>
              <w:t>Summary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10AF3" w14:textId="4E04E0C0" w:rsidR="001260BC" w:rsidRDefault="001260B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6212776" w:history="1">
            <w:r w:rsidRPr="00362C05">
              <w:rPr>
                <w:rStyle w:val="Hyperlink"/>
                <w:noProof/>
              </w:rPr>
              <w:t>Visual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597B2" w14:textId="1D5E12ED" w:rsidR="001260BC" w:rsidRPr="001260BC" w:rsidRDefault="001260BC">
          <w:r w:rsidRPr="001260BC">
            <w:rPr>
              <w:b/>
              <w:bCs/>
              <w:noProof/>
            </w:rPr>
            <w:fldChar w:fldCharType="end"/>
          </w:r>
        </w:p>
      </w:sdtContent>
    </w:sdt>
    <w:p w14:paraId="07D75407" w14:textId="77777777" w:rsidR="001260BC" w:rsidRPr="001260BC" w:rsidRDefault="001260BC" w:rsidP="001260BC">
      <w:pPr>
        <w:jc w:val="center"/>
        <w:rPr>
          <w:b/>
          <w:bCs/>
          <w:u w:val="single"/>
        </w:rPr>
      </w:pPr>
    </w:p>
    <w:p w14:paraId="29665AC3" w14:textId="77777777" w:rsidR="001260BC" w:rsidRPr="001260BC" w:rsidRDefault="001260BC" w:rsidP="001260BC">
      <w:pPr>
        <w:jc w:val="center"/>
        <w:rPr>
          <w:b/>
          <w:bCs/>
          <w:u w:val="single"/>
        </w:rPr>
      </w:pPr>
    </w:p>
    <w:p w14:paraId="6E072E9B" w14:textId="77777777" w:rsidR="001260BC" w:rsidRPr="001260BC" w:rsidRDefault="001260BC" w:rsidP="001260BC">
      <w:pPr>
        <w:jc w:val="center"/>
        <w:rPr>
          <w:b/>
          <w:bCs/>
          <w:u w:val="single"/>
        </w:rPr>
      </w:pPr>
    </w:p>
    <w:p w14:paraId="5AB26102" w14:textId="77777777" w:rsidR="001260BC" w:rsidRPr="001260BC" w:rsidRDefault="001260BC" w:rsidP="001260BC">
      <w:pPr>
        <w:jc w:val="center"/>
        <w:rPr>
          <w:b/>
          <w:bCs/>
          <w:u w:val="single"/>
        </w:rPr>
      </w:pPr>
    </w:p>
    <w:p w14:paraId="38CD5DF8" w14:textId="77777777" w:rsidR="001260BC" w:rsidRPr="001260BC" w:rsidRDefault="001260BC" w:rsidP="001260BC">
      <w:pPr>
        <w:jc w:val="center"/>
        <w:rPr>
          <w:b/>
          <w:bCs/>
          <w:u w:val="single"/>
        </w:rPr>
      </w:pPr>
    </w:p>
    <w:p w14:paraId="0FAD2A02" w14:textId="77777777" w:rsidR="001260BC" w:rsidRPr="001260BC" w:rsidRDefault="001260BC"/>
    <w:p w14:paraId="003919C0" w14:textId="2C4554B5" w:rsidR="001260BC" w:rsidRPr="001260BC" w:rsidRDefault="001260BC" w:rsidP="001260BC">
      <w:pPr>
        <w:pStyle w:val="Heading1"/>
        <w:rPr>
          <w:rFonts w:asciiTheme="minorHAnsi" w:hAnsiTheme="minorHAnsi"/>
        </w:rPr>
      </w:pPr>
      <w:bookmarkStart w:id="0" w:name="_Toc226212758"/>
      <w:r w:rsidRPr="001260BC">
        <w:rPr>
          <w:rFonts w:asciiTheme="minorHAnsi" w:hAnsiTheme="minorHAnsi"/>
        </w:rPr>
        <w:t>Task A</w:t>
      </w:r>
      <w:bookmarkEnd w:id="0"/>
    </w:p>
    <w:p w14:paraId="0209E4D0" w14:textId="06F4AE11" w:rsidR="001260BC" w:rsidRPr="001260BC" w:rsidRDefault="001260BC" w:rsidP="001260BC">
      <w:pPr>
        <w:pStyle w:val="Heading2"/>
        <w:rPr>
          <w:rFonts w:asciiTheme="minorHAnsi" w:hAnsiTheme="minorHAnsi"/>
        </w:rPr>
      </w:pPr>
      <w:bookmarkStart w:id="1" w:name="_Toc226212759"/>
      <w:r w:rsidRPr="001260BC">
        <w:rPr>
          <w:rFonts w:asciiTheme="minorHAnsi" w:hAnsiTheme="minorHAnsi"/>
        </w:rPr>
        <w:t>Figure 1-Tickers List</w:t>
      </w:r>
      <w:bookmarkEnd w:id="1"/>
    </w:p>
    <w:p w14:paraId="1D9410C0" w14:textId="653F53DA" w:rsidR="001260BC" w:rsidRPr="001260BC" w:rsidRDefault="001260BC" w:rsidP="001260BC">
      <w:r w:rsidRPr="001260BC">
        <w:rPr>
          <w:noProof/>
        </w:rPr>
        <w:drawing>
          <wp:inline distT="0" distB="0" distL="0" distR="0" wp14:anchorId="4980C31D" wp14:editId="283EBE6A">
            <wp:extent cx="5731510" cy="1217930"/>
            <wp:effectExtent l="0" t="0" r="0" b="1270"/>
            <wp:docPr id="118334133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41334" name="Picture 1" descr="A white background with black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F4D4" w14:textId="7A372B4B" w:rsidR="001260BC" w:rsidRPr="001260BC" w:rsidRDefault="001260BC" w:rsidP="001260BC">
      <w:pPr>
        <w:rPr>
          <w:color w:val="000000"/>
          <w:sz w:val="27"/>
          <w:szCs w:val="27"/>
        </w:rPr>
      </w:pPr>
      <w:r w:rsidRPr="001260BC">
        <w:rPr>
          <w:color w:val="000000"/>
          <w:sz w:val="27"/>
          <w:szCs w:val="27"/>
        </w:rPr>
        <w:t>This output shows the S&amp;P 500 companies successfully extracted from Wikipedia, providing the list of stock tickers used in the analysis.</w:t>
      </w:r>
    </w:p>
    <w:p w14:paraId="467D0074" w14:textId="4E643836" w:rsidR="001260BC" w:rsidRPr="001260BC" w:rsidRDefault="001260BC" w:rsidP="001260BC">
      <w:pPr>
        <w:pStyle w:val="Heading2"/>
        <w:rPr>
          <w:rFonts w:asciiTheme="minorHAnsi" w:hAnsiTheme="minorHAnsi"/>
        </w:rPr>
      </w:pPr>
      <w:bookmarkStart w:id="2" w:name="_Toc226212760"/>
      <w:r w:rsidRPr="001260BC">
        <w:rPr>
          <w:rFonts w:asciiTheme="minorHAnsi" w:hAnsiTheme="minorHAnsi"/>
        </w:rPr>
        <w:t>Figure 2-Dataset Shape</w:t>
      </w:r>
      <w:bookmarkEnd w:id="2"/>
    </w:p>
    <w:p w14:paraId="5EDB66EF" w14:textId="7C3BBE47" w:rsidR="001260BC" w:rsidRPr="001260BC" w:rsidRDefault="001260BC" w:rsidP="001260BC">
      <w:r w:rsidRPr="001260BC">
        <w:rPr>
          <w:noProof/>
        </w:rPr>
        <w:drawing>
          <wp:inline distT="0" distB="0" distL="0" distR="0" wp14:anchorId="1AFF9E75" wp14:editId="365E7242">
            <wp:extent cx="5731510" cy="1247775"/>
            <wp:effectExtent l="0" t="0" r="0" b="0"/>
            <wp:docPr id="31857229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72298" name="Picture 2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7D44" w14:textId="3A976FC7" w:rsidR="001260BC" w:rsidRPr="001260BC" w:rsidRDefault="001260BC" w:rsidP="001260BC">
      <w:pPr>
        <w:rPr>
          <w:color w:val="000000"/>
          <w:sz w:val="27"/>
          <w:szCs w:val="27"/>
        </w:rPr>
      </w:pPr>
      <w:r w:rsidRPr="001260BC">
        <w:rPr>
          <w:color w:val="000000"/>
          <w:sz w:val="27"/>
          <w:szCs w:val="27"/>
        </w:rPr>
        <w:t xml:space="preserve">This confirms that price data was successfully downloaded for all tickers over the selected </w:t>
      </w:r>
      <w:proofErr w:type="gramStart"/>
      <w:r w:rsidRPr="001260BC">
        <w:rPr>
          <w:color w:val="000000"/>
          <w:sz w:val="27"/>
          <w:szCs w:val="27"/>
        </w:rPr>
        <w:t>time period</w:t>
      </w:r>
      <w:proofErr w:type="gramEnd"/>
      <w:r w:rsidRPr="001260BC">
        <w:rPr>
          <w:color w:val="000000"/>
          <w:sz w:val="27"/>
          <w:szCs w:val="27"/>
        </w:rPr>
        <w:t>.</w:t>
      </w:r>
    </w:p>
    <w:p w14:paraId="648E51B7" w14:textId="4B134E64" w:rsidR="001260BC" w:rsidRPr="001260BC" w:rsidRDefault="001260BC" w:rsidP="001260BC">
      <w:pPr>
        <w:pStyle w:val="Heading2"/>
        <w:rPr>
          <w:rFonts w:asciiTheme="minorHAnsi" w:hAnsiTheme="minorHAnsi"/>
        </w:rPr>
      </w:pPr>
      <w:bookmarkStart w:id="3" w:name="_Toc226212761"/>
      <w:r w:rsidRPr="001260BC">
        <w:rPr>
          <w:rFonts w:asciiTheme="minorHAnsi" w:hAnsiTheme="minorHAnsi"/>
        </w:rPr>
        <w:t>Figure 3-Cleaning (Before &amp; After)</w:t>
      </w:r>
      <w:bookmarkEnd w:id="3"/>
    </w:p>
    <w:p w14:paraId="0A902902" w14:textId="23DAB749" w:rsidR="001260BC" w:rsidRPr="001260BC" w:rsidRDefault="001260BC" w:rsidP="001260BC">
      <w:r w:rsidRPr="001260BC">
        <w:rPr>
          <w:noProof/>
        </w:rPr>
        <w:drawing>
          <wp:inline distT="0" distB="0" distL="0" distR="0" wp14:anchorId="18B642E3" wp14:editId="45EA1FB5">
            <wp:extent cx="3644900" cy="1143000"/>
            <wp:effectExtent l="0" t="0" r="0" b="0"/>
            <wp:docPr id="106050368" name="Picture 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0368" name="Picture 3" descr="A screen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E319" w14:textId="2172DD4E" w:rsidR="001260BC" w:rsidRPr="001260BC" w:rsidRDefault="001260BC" w:rsidP="001260BC">
      <w:pPr>
        <w:rPr>
          <w:color w:val="000000"/>
          <w:sz w:val="27"/>
          <w:szCs w:val="27"/>
        </w:rPr>
      </w:pPr>
      <w:r w:rsidRPr="001260BC">
        <w:rPr>
          <w:color w:val="000000"/>
          <w:sz w:val="27"/>
          <w:szCs w:val="27"/>
        </w:rPr>
        <w:t>This step removes companies with missing data to ensure consistency and accuracy in subsequent calculations.</w:t>
      </w:r>
    </w:p>
    <w:p w14:paraId="7FFA3DEB" w14:textId="77777777" w:rsidR="001260BC" w:rsidRPr="001260BC" w:rsidRDefault="001260BC" w:rsidP="001260BC">
      <w:pPr>
        <w:rPr>
          <w:color w:val="000000"/>
          <w:sz w:val="27"/>
          <w:szCs w:val="27"/>
        </w:rPr>
      </w:pPr>
    </w:p>
    <w:p w14:paraId="43A63E73" w14:textId="5CB56156" w:rsidR="001260BC" w:rsidRPr="001260BC" w:rsidRDefault="001260BC" w:rsidP="001260BC">
      <w:pPr>
        <w:pStyle w:val="Heading2"/>
        <w:rPr>
          <w:rFonts w:asciiTheme="minorHAnsi" w:hAnsiTheme="minorHAnsi"/>
        </w:rPr>
      </w:pPr>
      <w:bookmarkStart w:id="4" w:name="_Toc226212762"/>
      <w:r w:rsidRPr="001260BC">
        <w:rPr>
          <w:rFonts w:asciiTheme="minorHAnsi" w:hAnsiTheme="minorHAnsi"/>
        </w:rPr>
        <w:lastRenderedPageBreak/>
        <w:t>Figure 4-Daily Returns</w:t>
      </w:r>
      <w:bookmarkEnd w:id="4"/>
    </w:p>
    <w:p w14:paraId="60076F2F" w14:textId="59C05C6A" w:rsidR="001260BC" w:rsidRPr="001260BC" w:rsidRDefault="001260BC" w:rsidP="001260BC">
      <w:r w:rsidRPr="001260BC">
        <w:rPr>
          <w:noProof/>
        </w:rPr>
        <w:drawing>
          <wp:inline distT="0" distB="0" distL="0" distR="0" wp14:anchorId="2220E25A" wp14:editId="52E2D6E7">
            <wp:extent cx="5731510" cy="1010920"/>
            <wp:effectExtent l="0" t="0" r="0" b="5080"/>
            <wp:docPr id="93692712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27124" name="Picture 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EEA9" w14:textId="3BCC777C" w:rsidR="001260BC" w:rsidRPr="001260BC" w:rsidRDefault="001260BC" w:rsidP="001260BC">
      <w:pPr>
        <w:rPr>
          <w:color w:val="000000"/>
          <w:sz w:val="27"/>
          <w:szCs w:val="27"/>
        </w:rPr>
      </w:pPr>
      <w:r w:rsidRPr="001260BC">
        <w:rPr>
          <w:color w:val="000000"/>
          <w:sz w:val="27"/>
          <w:szCs w:val="27"/>
        </w:rPr>
        <w:t>Daily returns are calculated to measure the percentage change in stock prices, forming the basis for risk and performance analysis.</w:t>
      </w:r>
    </w:p>
    <w:p w14:paraId="2B3D48B4" w14:textId="2443B849" w:rsidR="001260BC" w:rsidRPr="001260BC" w:rsidRDefault="001260BC" w:rsidP="001260BC">
      <w:pPr>
        <w:pStyle w:val="Heading2"/>
        <w:rPr>
          <w:rFonts w:asciiTheme="minorHAnsi" w:hAnsiTheme="minorHAnsi"/>
        </w:rPr>
      </w:pPr>
      <w:bookmarkStart w:id="5" w:name="_Toc226212763"/>
      <w:r w:rsidRPr="001260BC">
        <w:rPr>
          <w:rFonts w:asciiTheme="minorHAnsi" w:hAnsiTheme="minorHAnsi"/>
        </w:rPr>
        <w:t>Figure 5-Beta Table</w:t>
      </w:r>
      <w:bookmarkEnd w:id="5"/>
    </w:p>
    <w:p w14:paraId="36C7C2BF" w14:textId="713047C6" w:rsidR="001260BC" w:rsidRPr="001260BC" w:rsidRDefault="001260BC" w:rsidP="001260BC">
      <w:r w:rsidRPr="001260BC">
        <w:rPr>
          <w:noProof/>
        </w:rPr>
        <w:drawing>
          <wp:inline distT="0" distB="0" distL="0" distR="0" wp14:anchorId="643E7B67" wp14:editId="448E1D26">
            <wp:extent cx="5731510" cy="3070225"/>
            <wp:effectExtent l="0" t="0" r="0" b="3175"/>
            <wp:docPr id="1272996050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96050" name="Picture 5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F1D1" w14:textId="5D55B5A1" w:rsidR="001260BC" w:rsidRPr="001260BC" w:rsidRDefault="001260BC" w:rsidP="001260BC">
      <w:pPr>
        <w:rPr>
          <w:color w:val="000000"/>
          <w:sz w:val="27"/>
          <w:szCs w:val="27"/>
        </w:rPr>
      </w:pPr>
      <w:r w:rsidRPr="001260BC">
        <w:rPr>
          <w:color w:val="000000"/>
          <w:sz w:val="27"/>
          <w:szCs w:val="27"/>
        </w:rPr>
        <w:t>Beta values measure each stock’s sensitivity to market movements, indicating relative risk compared to the overall market.</w:t>
      </w:r>
    </w:p>
    <w:p w14:paraId="6472147F" w14:textId="4E85C3CA" w:rsidR="001260BC" w:rsidRPr="001260BC" w:rsidRDefault="001260BC" w:rsidP="001260BC">
      <w:pPr>
        <w:pStyle w:val="Heading2"/>
        <w:rPr>
          <w:rFonts w:asciiTheme="minorHAnsi" w:hAnsiTheme="minorHAnsi"/>
        </w:rPr>
      </w:pPr>
      <w:bookmarkStart w:id="6" w:name="_Toc226212764"/>
      <w:r w:rsidRPr="001260BC">
        <w:rPr>
          <w:rFonts w:asciiTheme="minorHAnsi" w:hAnsiTheme="minorHAnsi"/>
        </w:rPr>
        <w:lastRenderedPageBreak/>
        <w:t>Figure 6-Volatility Table</w:t>
      </w:r>
      <w:bookmarkEnd w:id="6"/>
    </w:p>
    <w:p w14:paraId="464B0F63" w14:textId="27E9F7D8" w:rsidR="001260BC" w:rsidRPr="001260BC" w:rsidRDefault="001260BC" w:rsidP="001260BC">
      <w:r w:rsidRPr="001260BC">
        <w:rPr>
          <w:noProof/>
        </w:rPr>
        <w:drawing>
          <wp:inline distT="0" distB="0" distL="0" distR="0" wp14:anchorId="55D5D689" wp14:editId="3A4B80FF">
            <wp:extent cx="5638800" cy="3770626"/>
            <wp:effectExtent l="0" t="0" r="0" b="1905"/>
            <wp:docPr id="118811911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19117" name="Picture 6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785" cy="378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D2FE" w14:textId="2BD20E7D" w:rsidR="001260BC" w:rsidRPr="0064558B" w:rsidRDefault="0064558B" w:rsidP="001260BC">
      <w:r w:rsidRPr="0064558B">
        <w:rPr>
          <w:color w:val="000000"/>
          <w:sz w:val="27"/>
          <w:szCs w:val="27"/>
        </w:rPr>
        <w:t>Annual volatility represents the level of risk associated with each stock, calculated from the standard deviation of returns.</w:t>
      </w:r>
    </w:p>
    <w:p w14:paraId="309AAD89" w14:textId="79B26A31" w:rsidR="001260BC" w:rsidRPr="001260BC" w:rsidRDefault="001260BC" w:rsidP="001260BC">
      <w:pPr>
        <w:pStyle w:val="Heading2"/>
        <w:rPr>
          <w:rFonts w:asciiTheme="minorHAnsi" w:hAnsiTheme="minorHAnsi"/>
        </w:rPr>
      </w:pPr>
      <w:bookmarkStart w:id="7" w:name="_Toc226212765"/>
      <w:r w:rsidRPr="001260BC">
        <w:rPr>
          <w:rFonts w:asciiTheme="minorHAnsi" w:hAnsiTheme="minorHAnsi"/>
        </w:rPr>
        <w:t>Figure 7-Average Daily Returns Table</w:t>
      </w:r>
      <w:bookmarkEnd w:id="7"/>
    </w:p>
    <w:p w14:paraId="0FF0D36A" w14:textId="77777777" w:rsidR="0064558B" w:rsidRDefault="001260BC" w:rsidP="0064558B">
      <w:pPr>
        <w:rPr>
          <w:color w:val="000000"/>
          <w:sz w:val="27"/>
          <w:szCs w:val="27"/>
        </w:rPr>
      </w:pPr>
      <w:r w:rsidRPr="001260BC">
        <w:rPr>
          <w:noProof/>
        </w:rPr>
        <w:drawing>
          <wp:inline distT="0" distB="0" distL="0" distR="0" wp14:anchorId="5D22F045" wp14:editId="7E7D61A2">
            <wp:extent cx="3632200" cy="2781300"/>
            <wp:effectExtent l="0" t="0" r="0" b="0"/>
            <wp:docPr id="58897018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70183" name="Picture 7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_Toc226212766"/>
    </w:p>
    <w:p w14:paraId="7010E2FC" w14:textId="12743A64" w:rsidR="0064558B" w:rsidRPr="0064558B" w:rsidRDefault="0064558B" w:rsidP="0064558B">
      <w:r w:rsidRPr="0064558B">
        <w:rPr>
          <w:color w:val="000000"/>
          <w:sz w:val="27"/>
          <w:szCs w:val="27"/>
        </w:rPr>
        <w:t>This shows the average return generated by each stock, providing a measure of overall performance.</w:t>
      </w:r>
    </w:p>
    <w:p w14:paraId="65970F8D" w14:textId="7D1D81FE" w:rsidR="001260BC" w:rsidRPr="001260BC" w:rsidRDefault="001260BC" w:rsidP="001260BC">
      <w:pPr>
        <w:pStyle w:val="Heading2"/>
        <w:rPr>
          <w:rFonts w:asciiTheme="minorHAnsi" w:hAnsiTheme="minorHAnsi"/>
        </w:rPr>
      </w:pPr>
      <w:r w:rsidRPr="001260BC">
        <w:rPr>
          <w:rFonts w:asciiTheme="minorHAnsi" w:hAnsiTheme="minorHAnsi"/>
        </w:rPr>
        <w:lastRenderedPageBreak/>
        <w:t>Figure 8-Summary Table</w:t>
      </w:r>
      <w:bookmarkEnd w:id="8"/>
    </w:p>
    <w:p w14:paraId="09BEBF2D" w14:textId="6327D6F9" w:rsidR="001260BC" w:rsidRPr="001260BC" w:rsidRDefault="001260BC" w:rsidP="001260BC">
      <w:r w:rsidRPr="001260BC">
        <w:rPr>
          <w:noProof/>
        </w:rPr>
        <w:drawing>
          <wp:inline distT="0" distB="0" distL="0" distR="0" wp14:anchorId="0A6F0260" wp14:editId="167B4D28">
            <wp:extent cx="5731510" cy="1910715"/>
            <wp:effectExtent l="0" t="0" r="0" b="0"/>
            <wp:docPr id="51028299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82991" name="Picture 8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FD17" w14:textId="69DBECBC" w:rsidR="001260BC" w:rsidRPr="001260BC" w:rsidRDefault="0064558B" w:rsidP="001260BC">
      <w:pPr>
        <w:rPr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This shows the average return generated by each stock, providing a measure of overall performance.</w:t>
      </w:r>
    </w:p>
    <w:p w14:paraId="6A35E444" w14:textId="5F184413" w:rsidR="001260BC" w:rsidRPr="001260BC" w:rsidRDefault="001260BC" w:rsidP="001260BC">
      <w:pPr>
        <w:pStyle w:val="Heading2"/>
        <w:rPr>
          <w:rFonts w:asciiTheme="minorHAnsi" w:hAnsiTheme="minorHAnsi"/>
        </w:rPr>
      </w:pPr>
      <w:bookmarkStart w:id="9" w:name="_Toc226212767"/>
      <w:r w:rsidRPr="001260BC">
        <w:rPr>
          <w:rFonts w:asciiTheme="minorHAnsi" w:hAnsiTheme="minorHAnsi"/>
        </w:rPr>
        <w:t>Figure 9-Graph 1 (Beta Vs Return)</w:t>
      </w:r>
      <w:bookmarkEnd w:id="9"/>
    </w:p>
    <w:p w14:paraId="09634F19" w14:textId="77777777" w:rsidR="0064558B" w:rsidRDefault="001260BC" w:rsidP="0064558B">
      <w:pPr>
        <w:rPr>
          <w:rFonts w:ascii="-webkit-standard" w:hAnsi="-webkit-standard"/>
          <w:color w:val="000000"/>
          <w:sz w:val="27"/>
          <w:szCs w:val="27"/>
        </w:rPr>
      </w:pPr>
      <w:r w:rsidRPr="001260BC">
        <w:rPr>
          <w:noProof/>
        </w:rPr>
        <w:drawing>
          <wp:inline distT="0" distB="0" distL="0" distR="0" wp14:anchorId="615525C6" wp14:editId="60583375">
            <wp:extent cx="5422900" cy="4393114"/>
            <wp:effectExtent l="0" t="0" r="0" b="1270"/>
            <wp:docPr id="417457866" name="Picture 9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57866" name="Picture 9" descr="A screen shot of a graph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661" cy="440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_Toc226212768"/>
      <w:r w:rsidR="0064558B">
        <w:rPr>
          <w:rFonts w:ascii="-webkit-standard" w:hAnsi="-webkit-standard"/>
          <w:color w:val="000000"/>
          <w:sz w:val="27"/>
          <w:szCs w:val="27"/>
        </w:rPr>
        <w:t>This scatter plot illustrates the relationship between risk (beta) and return, helping identify whether higher risk leads to higher returns.</w:t>
      </w:r>
    </w:p>
    <w:p w14:paraId="04E31324" w14:textId="77777777" w:rsidR="0064558B" w:rsidRDefault="0064558B" w:rsidP="0064558B">
      <w:pPr>
        <w:rPr>
          <w:rFonts w:ascii="-webkit-standard" w:hAnsi="-webkit-standard"/>
          <w:color w:val="000000"/>
          <w:sz w:val="27"/>
          <w:szCs w:val="27"/>
        </w:rPr>
      </w:pPr>
    </w:p>
    <w:p w14:paraId="45B01DA0" w14:textId="77777777" w:rsidR="0064558B" w:rsidRDefault="0064558B" w:rsidP="0064558B">
      <w:pPr>
        <w:rPr>
          <w:rFonts w:ascii="-webkit-standard" w:hAnsi="-webkit-standard"/>
          <w:color w:val="000000"/>
          <w:sz w:val="27"/>
          <w:szCs w:val="27"/>
        </w:rPr>
      </w:pPr>
    </w:p>
    <w:p w14:paraId="44F7D1C2" w14:textId="1661EC3A" w:rsidR="001260BC" w:rsidRPr="001260BC" w:rsidRDefault="001260BC" w:rsidP="0064558B">
      <w:pPr>
        <w:pStyle w:val="Heading2"/>
      </w:pPr>
      <w:r w:rsidRPr="001260BC">
        <w:lastRenderedPageBreak/>
        <w:t>Figure 10-Graph 2 (Volatility Distribution)</w:t>
      </w:r>
      <w:bookmarkEnd w:id="10"/>
    </w:p>
    <w:p w14:paraId="685B88BC" w14:textId="1841D034" w:rsidR="001260BC" w:rsidRPr="001260BC" w:rsidRDefault="001260BC" w:rsidP="001260BC">
      <w:r w:rsidRPr="001260BC">
        <w:rPr>
          <w:noProof/>
        </w:rPr>
        <w:drawing>
          <wp:inline distT="0" distB="0" distL="0" distR="0" wp14:anchorId="2FDD23B9" wp14:editId="50649FAE">
            <wp:extent cx="5731510" cy="4271645"/>
            <wp:effectExtent l="0" t="0" r="0" b="0"/>
            <wp:docPr id="397474564" name="Picture 10" descr="A graph with blue and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74564" name="Picture 10" descr="A graph with blue and white line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7088" w14:textId="77777777" w:rsidR="0064558B" w:rsidRPr="0064558B" w:rsidRDefault="0064558B" w:rsidP="001260BC">
      <w:pPr>
        <w:pStyle w:val="Heading1"/>
        <w:rPr>
          <w:rFonts w:asciiTheme="minorHAnsi" w:hAnsiTheme="minorHAnsi"/>
          <w:color w:val="000000"/>
          <w:sz w:val="27"/>
          <w:szCs w:val="27"/>
        </w:rPr>
      </w:pPr>
      <w:bookmarkStart w:id="11" w:name="_Toc226212769"/>
      <w:r w:rsidRPr="0064558B">
        <w:rPr>
          <w:rFonts w:asciiTheme="minorHAnsi" w:hAnsiTheme="minorHAnsi"/>
          <w:color w:val="000000"/>
          <w:sz w:val="27"/>
          <w:szCs w:val="27"/>
        </w:rPr>
        <w:t>This histogram shows the distribution of stock volatility, highlighting how risk levels vary across the S&amp;P 500.</w:t>
      </w:r>
    </w:p>
    <w:p w14:paraId="376AF02D" w14:textId="5BB5E4D4" w:rsidR="001260BC" w:rsidRPr="001260BC" w:rsidRDefault="001260BC" w:rsidP="001260BC">
      <w:pPr>
        <w:pStyle w:val="Heading1"/>
        <w:rPr>
          <w:rFonts w:asciiTheme="minorHAnsi" w:hAnsiTheme="minorHAnsi"/>
        </w:rPr>
      </w:pPr>
      <w:r w:rsidRPr="001260BC">
        <w:rPr>
          <w:rFonts w:asciiTheme="minorHAnsi" w:hAnsiTheme="minorHAnsi"/>
        </w:rPr>
        <w:t>Data Collection and Analysis</w:t>
      </w:r>
      <w:bookmarkEnd w:id="11"/>
    </w:p>
    <w:p w14:paraId="295BE40C" w14:textId="77777777" w:rsidR="001260BC" w:rsidRPr="001260BC" w:rsidRDefault="001260BC" w:rsidP="001260BC">
      <w:pPr>
        <w:pStyle w:val="Heading2"/>
        <w:rPr>
          <w:rFonts w:asciiTheme="minorHAnsi" w:hAnsiTheme="minorHAnsi"/>
        </w:rPr>
      </w:pPr>
      <w:bookmarkStart w:id="12" w:name="_Toc226212770"/>
      <w:r w:rsidRPr="001260BC">
        <w:rPr>
          <w:rStyle w:val="Strong"/>
          <w:rFonts w:asciiTheme="minorHAnsi" w:hAnsiTheme="minorHAnsi"/>
          <w:b w:val="0"/>
          <w:bCs w:val="0"/>
          <w:color w:val="000000"/>
        </w:rPr>
        <w:t>Data Collection</w:t>
      </w:r>
      <w:bookmarkEnd w:id="12"/>
    </w:p>
    <w:p w14:paraId="2DC79B88" w14:textId="5DA68BD1" w:rsidR="001260BC" w:rsidRPr="001260BC" w:rsidRDefault="001260BC" w:rsidP="001260BC">
      <w:pPr>
        <w:pStyle w:val="NormalWeb"/>
        <w:rPr>
          <w:rFonts w:asciiTheme="minorHAnsi" w:hAnsiTheme="minorHAnsi"/>
          <w:color w:val="000000"/>
        </w:rPr>
      </w:pPr>
      <w:r w:rsidRPr="001260BC">
        <w:rPr>
          <w:rFonts w:asciiTheme="minorHAnsi" w:hAnsiTheme="minorHAnsi"/>
          <w:color w:val="000000"/>
        </w:rPr>
        <w:t xml:space="preserve">Stock data for S&amp;P 500 companies was collected using Python. The list of companies was extracted from Wikipedia and processed to obtain valid stock ticker symbols. Historical price data was then downloaded using the </w:t>
      </w:r>
      <w:proofErr w:type="spellStart"/>
      <w:r w:rsidRPr="001260BC">
        <w:rPr>
          <w:rFonts w:asciiTheme="minorHAnsi" w:hAnsiTheme="minorHAnsi"/>
          <w:color w:val="000000"/>
        </w:rPr>
        <w:t>yfinance</w:t>
      </w:r>
      <w:proofErr w:type="spellEnd"/>
      <w:r w:rsidRPr="001260BC">
        <w:rPr>
          <w:rFonts w:asciiTheme="minorHAnsi" w:hAnsiTheme="minorHAnsi"/>
          <w:color w:val="000000"/>
        </w:rPr>
        <w:t xml:space="preserve"> library for the period January 2022 to January 2025.</w:t>
      </w:r>
    </w:p>
    <w:p w14:paraId="06D2BBBB" w14:textId="719EBB16" w:rsidR="001260BC" w:rsidRPr="001260BC" w:rsidRDefault="001260BC" w:rsidP="001260BC"/>
    <w:p w14:paraId="5D78B06D" w14:textId="77777777" w:rsidR="001260BC" w:rsidRPr="001260BC" w:rsidRDefault="001260BC" w:rsidP="001260BC">
      <w:pPr>
        <w:pStyle w:val="Heading2"/>
        <w:rPr>
          <w:rFonts w:asciiTheme="minorHAnsi" w:hAnsiTheme="minorHAnsi"/>
        </w:rPr>
      </w:pPr>
      <w:bookmarkStart w:id="13" w:name="_Toc226212771"/>
      <w:r w:rsidRPr="001260BC">
        <w:rPr>
          <w:rStyle w:val="Strong"/>
          <w:rFonts w:asciiTheme="minorHAnsi" w:hAnsiTheme="minorHAnsi"/>
          <w:b w:val="0"/>
          <w:bCs w:val="0"/>
          <w:color w:val="000000"/>
        </w:rPr>
        <w:t>Data Cleaning</w:t>
      </w:r>
      <w:bookmarkEnd w:id="13"/>
    </w:p>
    <w:p w14:paraId="7A1527FA" w14:textId="77777777" w:rsidR="001260BC" w:rsidRPr="001260BC" w:rsidRDefault="001260BC" w:rsidP="001260BC">
      <w:pPr>
        <w:pStyle w:val="NormalWeb"/>
        <w:rPr>
          <w:rFonts w:asciiTheme="minorHAnsi" w:hAnsiTheme="minorHAnsi"/>
          <w:color w:val="000000"/>
        </w:rPr>
      </w:pPr>
      <w:r w:rsidRPr="001260BC">
        <w:rPr>
          <w:rFonts w:asciiTheme="minorHAnsi" w:hAnsiTheme="minorHAnsi"/>
          <w:color w:val="000000"/>
        </w:rPr>
        <w:t xml:space="preserve">The dataset initially contained missing values for some companies. To ensure consistency, any stocks with incomplete data were removed. This resulted in a clean dataset with fewer tickers but complete observations across the entire </w:t>
      </w:r>
      <w:proofErr w:type="gramStart"/>
      <w:r w:rsidRPr="001260BC">
        <w:rPr>
          <w:rFonts w:asciiTheme="minorHAnsi" w:hAnsiTheme="minorHAnsi"/>
          <w:color w:val="000000"/>
        </w:rPr>
        <w:t>time period</w:t>
      </w:r>
      <w:proofErr w:type="gramEnd"/>
      <w:r w:rsidRPr="001260BC">
        <w:rPr>
          <w:rFonts w:asciiTheme="minorHAnsi" w:hAnsiTheme="minorHAnsi"/>
          <w:color w:val="000000"/>
        </w:rPr>
        <w:t>.</w:t>
      </w:r>
    </w:p>
    <w:p w14:paraId="18AB8E9E" w14:textId="717C2FE1" w:rsidR="001260BC" w:rsidRPr="001260BC" w:rsidRDefault="001260BC" w:rsidP="001260BC"/>
    <w:p w14:paraId="088B135A" w14:textId="77777777" w:rsidR="001260BC" w:rsidRPr="001260BC" w:rsidRDefault="001260BC" w:rsidP="001260BC">
      <w:pPr>
        <w:pStyle w:val="Heading2"/>
        <w:rPr>
          <w:rFonts w:asciiTheme="minorHAnsi" w:hAnsiTheme="minorHAnsi"/>
        </w:rPr>
      </w:pPr>
      <w:bookmarkStart w:id="14" w:name="_Toc226212772"/>
      <w:r w:rsidRPr="001260BC">
        <w:rPr>
          <w:rStyle w:val="Strong"/>
          <w:rFonts w:asciiTheme="minorHAnsi" w:hAnsiTheme="minorHAnsi"/>
          <w:b w:val="0"/>
          <w:bCs w:val="0"/>
          <w:color w:val="000000"/>
        </w:rPr>
        <w:t>Return Calculation</w:t>
      </w:r>
      <w:bookmarkEnd w:id="14"/>
    </w:p>
    <w:p w14:paraId="5A720FE7" w14:textId="77777777" w:rsidR="001260BC" w:rsidRPr="001260BC" w:rsidRDefault="001260BC" w:rsidP="001260BC">
      <w:pPr>
        <w:pStyle w:val="NormalWeb"/>
        <w:rPr>
          <w:rFonts w:asciiTheme="minorHAnsi" w:hAnsiTheme="minorHAnsi"/>
          <w:color w:val="000000"/>
        </w:rPr>
      </w:pPr>
      <w:r w:rsidRPr="001260BC">
        <w:rPr>
          <w:rFonts w:asciiTheme="minorHAnsi" w:hAnsiTheme="minorHAnsi"/>
          <w:color w:val="000000"/>
        </w:rPr>
        <w:t>Daily returns were calculated using percentage changes in adjusted closing prices. These returns form the foundation for analysing stock performance and risk.</w:t>
      </w:r>
    </w:p>
    <w:p w14:paraId="64D8F133" w14:textId="4445B25D" w:rsidR="001260BC" w:rsidRPr="001260BC" w:rsidRDefault="001260BC" w:rsidP="001260BC"/>
    <w:p w14:paraId="71AA1B06" w14:textId="77777777" w:rsidR="001260BC" w:rsidRPr="001260BC" w:rsidRDefault="001260BC" w:rsidP="001260BC">
      <w:pPr>
        <w:pStyle w:val="Heading2"/>
        <w:rPr>
          <w:rFonts w:asciiTheme="minorHAnsi" w:hAnsiTheme="minorHAnsi"/>
        </w:rPr>
      </w:pPr>
      <w:bookmarkStart w:id="15" w:name="_Toc226212773"/>
      <w:r w:rsidRPr="001260BC">
        <w:rPr>
          <w:rStyle w:val="Strong"/>
          <w:rFonts w:asciiTheme="minorHAnsi" w:hAnsiTheme="minorHAnsi"/>
          <w:b w:val="0"/>
          <w:bCs w:val="0"/>
          <w:color w:val="000000"/>
        </w:rPr>
        <w:t>Beta Calculation</w:t>
      </w:r>
      <w:bookmarkEnd w:id="15"/>
    </w:p>
    <w:p w14:paraId="25DBABCB" w14:textId="77777777" w:rsidR="001260BC" w:rsidRPr="001260BC" w:rsidRDefault="001260BC" w:rsidP="001260BC">
      <w:pPr>
        <w:pStyle w:val="NormalWeb"/>
        <w:rPr>
          <w:rFonts w:asciiTheme="minorHAnsi" w:hAnsiTheme="minorHAnsi"/>
          <w:color w:val="000000"/>
        </w:rPr>
      </w:pPr>
      <w:r w:rsidRPr="001260BC">
        <w:rPr>
          <w:rFonts w:asciiTheme="minorHAnsi" w:hAnsiTheme="minorHAnsi"/>
          <w:color w:val="000000"/>
        </w:rPr>
        <w:t>Beta was calculated for each stock to measure its sensitivity to overall market movements. A higher beta indicates greater volatility relative to the market, while a lower beta suggests more stable performance.</w:t>
      </w:r>
    </w:p>
    <w:p w14:paraId="775A52E6" w14:textId="40D87BB7" w:rsidR="001260BC" w:rsidRPr="001260BC" w:rsidRDefault="001260BC" w:rsidP="001260BC"/>
    <w:p w14:paraId="5F2B3EAF" w14:textId="77777777" w:rsidR="001260BC" w:rsidRPr="001260BC" w:rsidRDefault="001260BC" w:rsidP="001260BC">
      <w:pPr>
        <w:pStyle w:val="Heading2"/>
        <w:rPr>
          <w:rFonts w:asciiTheme="minorHAnsi" w:hAnsiTheme="minorHAnsi"/>
        </w:rPr>
      </w:pPr>
      <w:bookmarkStart w:id="16" w:name="_Toc226212774"/>
      <w:r w:rsidRPr="001260BC">
        <w:rPr>
          <w:rStyle w:val="Strong"/>
          <w:rFonts w:asciiTheme="minorHAnsi" w:hAnsiTheme="minorHAnsi"/>
          <w:b w:val="0"/>
          <w:bCs w:val="0"/>
          <w:color w:val="000000"/>
        </w:rPr>
        <w:t>Volatility Calculation</w:t>
      </w:r>
      <w:bookmarkEnd w:id="16"/>
    </w:p>
    <w:p w14:paraId="1910A674" w14:textId="77777777" w:rsidR="001260BC" w:rsidRPr="001260BC" w:rsidRDefault="001260BC" w:rsidP="001260BC">
      <w:pPr>
        <w:pStyle w:val="NormalWeb"/>
        <w:rPr>
          <w:rFonts w:asciiTheme="minorHAnsi" w:hAnsiTheme="minorHAnsi"/>
          <w:color w:val="000000"/>
        </w:rPr>
      </w:pPr>
      <w:r w:rsidRPr="001260BC">
        <w:rPr>
          <w:rFonts w:asciiTheme="minorHAnsi" w:hAnsiTheme="minorHAnsi"/>
          <w:color w:val="000000"/>
        </w:rPr>
        <w:t>Volatility was calculated as the standard deviation of daily returns and annualised using the square root of 252 trading days. This provides a measure of the risk associated with each stock.</w:t>
      </w:r>
    </w:p>
    <w:p w14:paraId="2ECE72AE" w14:textId="4C0F04D4" w:rsidR="001260BC" w:rsidRPr="001260BC" w:rsidRDefault="001260BC" w:rsidP="001260BC"/>
    <w:p w14:paraId="41123C13" w14:textId="77777777" w:rsidR="001260BC" w:rsidRPr="001260BC" w:rsidRDefault="001260BC" w:rsidP="001260BC">
      <w:pPr>
        <w:pStyle w:val="Heading2"/>
        <w:rPr>
          <w:rFonts w:asciiTheme="minorHAnsi" w:hAnsiTheme="minorHAnsi"/>
        </w:rPr>
      </w:pPr>
      <w:bookmarkStart w:id="17" w:name="_Toc226212775"/>
      <w:r w:rsidRPr="001260BC">
        <w:rPr>
          <w:rStyle w:val="Strong"/>
          <w:rFonts w:asciiTheme="minorHAnsi" w:hAnsiTheme="minorHAnsi"/>
          <w:b w:val="0"/>
          <w:bCs w:val="0"/>
          <w:color w:val="000000"/>
        </w:rPr>
        <w:t>Summary Metrics</w:t>
      </w:r>
      <w:bookmarkEnd w:id="17"/>
    </w:p>
    <w:p w14:paraId="73978DF3" w14:textId="77777777" w:rsidR="001260BC" w:rsidRPr="001260BC" w:rsidRDefault="001260BC" w:rsidP="001260BC">
      <w:pPr>
        <w:pStyle w:val="NormalWeb"/>
        <w:rPr>
          <w:rFonts w:asciiTheme="minorHAnsi" w:hAnsiTheme="minorHAnsi"/>
          <w:color w:val="000000"/>
        </w:rPr>
      </w:pPr>
      <w:r w:rsidRPr="001260BC">
        <w:rPr>
          <w:rFonts w:asciiTheme="minorHAnsi" w:hAnsiTheme="minorHAnsi"/>
          <w:color w:val="000000"/>
        </w:rPr>
        <w:t>A summary dataset was created by combining average returns, beta values, and volatility. This allows for direct comparison of stocks based on both performance and risk.</w:t>
      </w:r>
    </w:p>
    <w:p w14:paraId="182D9672" w14:textId="773921B0" w:rsidR="001260BC" w:rsidRPr="001260BC" w:rsidRDefault="001260BC" w:rsidP="001260BC"/>
    <w:p w14:paraId="27F14DEF" w14:textId="77777777" w:rsidR="001260BC" w:rsidRPr="001260BC" w:rsidRDefault="001260BC" w:rsidP="001260BC">
      <w:pPr>
        <w:pStyle w:val="Heading2"/>
        <w:rPr>
          <w:rFonts w:asciiTheme="minorHAnsi" w:hAnsiTheme="minorHAnsi"/>
        </w:rPr>
      </w:pPr>
      <w:bookmarkStart w:id="18" w:name="_Toc226212776"/>
      <w:r w:rsidRPr="001260BC">
        <w:rPr>
          <w:rStyle w:val="Strong"/>
          <w:rFonts w:asciiTheme="minorHAnsi" w:hAnsiTheme="minorHAnsi"/>
          <w:b w:val="0"/>
          <w:bCs w:val="0"/>
          <w:color w:val="000000"/>
        </w:rPr>
        <w:t>Visual Analysis</w:t>
      </w:r>
      <w:bookmarkEnd w:id="18"/>
    </w:p>
    <w:p w14:paraId="6F479E57" w14:textId="77777777" w:rsidR="001260BC" w:rsidRPr="001260BC" w:rsidRDefault="001260BC" w:rsidP="001260BC">
      <w:pPr>
        <w:pStyle w:val="NormalWeb"/>
        <w:rPr>
          <w:rFonts w:asciiTheme="minorHAnsi" w:hAnsiTheme="minorHAnsi"/>
          <w:color w:val="000000"/>
        </w:rPr>
      </w:pPr>
      <w:r w:rsidRPr="001260BC">
        <w:rPr>
          <w:rFonts w:asciiTheme="minorHAnsi" w:hAnsiTheme="minorHAnsi"/>
          <w:color w:val="000000"/>
        </w:rPr>
        <w:t>Two visualisations were created to support the analysis:</w:t>
      </w:r>
    </w:p>
    <w:p w14:paraId="29926B9D" w14:textId="77777777" w:rsidR="001260BC" w:rsidRPr="001260BC" w:rsidRDefault="001260BC" w:rsidP="001260BC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/>
        </w:rPr>
      </w:pPr>
      <w:r w:rsidRPr="001260BC">
        <w:rPr>
          <w:color w:val="000000"/>
        </w:rPr>
        <w:t>A scatter plot of beta versus average daily return shows the relationship between risk and return.</w:t>
      </w:r>
    </w:p>
    <w:p w14:paraId="71373130" w14:textId="77777777" w:rsidR="001260BC" w:rsidRPr="001260BC" w:rsidRDefault="001260BC" w:rsidP="001260BC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/>
        </w:rPr>
      </w:pPr>
      <w:r w:rsidRPr="001260BC">
        <w:rPr>
          <w:color w:val="000000"/>
        </w:rPr>
        <w:t>A histogram of annual volatility illustrates the distribution of risk across the S&amp;P 500.</w:t>
      </w:r>
    </w:p>
    <w:p w14:paraId="6D66DF64" w14:textId="77777777" w:rsidR="001260BC" w:rsidRPr="001260BC" w:rsidRDefault="001260BC" w:rsidP="001260BC">
      <w:pPr>
        <w:pStyle w:val="NormalWeb"/>
        <w:rPr>
          <w:rFonts w:asciiTheme="minorHAnsi" w:hAnsiTheme="minorHAnsi"/>
          <w:color w:val="000000"/>
        </w:rPr>
      </w:pPr>
      <w:r w:rsidRPr="001260BC">
        <w:rPr>
          <w:rFonts w:asciiTheme="minorHAnsi" w:hAnsiTheme="minorHAnsi"/>
          <w:color w:val="000000"/>
        </w:rPr>
        <w:t>These visualisations provide insight into how risk and return vary across different stocks.</w:t>
      </w:r>
    </w:p>
    <w:p w14:paraId="0D7A0B0D" w14:textId="77777777" w:rsidR="001260BC" w:rsidRPr="001260BC" w:rsidRDefault="001260BC" w:rsidP="001260BC"/>
    <w:sectPr w:rsidR="001260BC" w:rsidRPr="001260BC">
      <w:footerReference w:type="even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75945" w14:textId="77777777" w:rsidR="00EC10C0" w:rsidRDefault="00EC10C0" w:rsidP="001260BC">
      <w:pPr>
        <w:spacing w:after="0" w:line="240" w:lineRule="auto"/>
      </w:pPr>
      <w:r>
        <w:separator/>
      </w:r>
    </w:p>
  </w:endnote>
  <w:endnote w:type="continuationSeparator" w:id="0">
    <w:p w14:paraId="69C82956" w14:textId="77777777" w:rsidR="00EC10C0" w:rsidRDefault="00EC10C0" w:rsidP="00126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79874887"/>
      <w:docPartObj>
        <w:docPartGallery w:val="Page Numbers (Bottom of Page)"/>
        <w:docPartUnique/>
      </w:docPartObj>
    </w:sdtPr>
    <w:sdtContent>
      <w:p w14:paraId="2AEA1908" w14:textId="2E12BED1" w:rsidR="001260BC" w:rsidRDefault="001260BC" w:rsidP="003B380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0279E21" w14:textId="77777777" w:rsidR="001260BC" w:rsidRDefault="001260BC" w:rsidP="001260B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1249806"/>
      <w:docPartObj>
        <w:docPartGallery w:val="Page Numbers (Bottom of Page)"/>
        <w:docPartUnique/>
      </w:docPartObj>
    </w:sdtPr>
    <w:sdtContent>
      <w:p w14:paraId="15C5610A" w14:textId="522EBCD3" w:rsidR="001260BC" w:rsidRDefault="001260BC" w:rsidP="003B380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A6C3F4E" w14:textId="77777777" w:rsidR="001260BC" w:rsidRDefault="001260BC" w:rsidP="001260B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4E698" w14:textId="77777777" w:rsidR="00EC10C0" w:rsidRDefault="00EC10C0" w:rsidP="001260BC">
      <w:pPr>
        <w:spacing w:after="0" w:line="240" w:lineRule="auto"/>
      </w:pPr>
      <w:r>
        <w:separator/>
      </w:r>
    </w:p>
  </w:footnote>
  <w:footnote w:type="continuationSeparator" w:id="0">
    <w:p w14:paraId="2B05E918" w14:textId="77777777" w:rsidR="00EC10C0" w:rsidRDefault="00EC10C0" w:rsidP="001260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41D50"/>
    <w:multiLevelType w:val="multilevel"/>
    <w:tmpl w:val="9768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533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0BC"/>
    <w:rsid w:val="001260BC"/>
    <w:rsid w:val="001906A7"/>
    <w:rsid w:val="004E6CE6"/>
    <w:rsid w:val="00572978"/>
    <w:rsid w:val="0064558B"/>
    <w:rsid w:val="00BE7310"/>
    <w:rsid w:val="00D466BB"/>
    <w:rsid w:val="00EC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0FE3E"/>
  <w15:chartTrackingRefBased/>
  <w15:docId w15:val="{1A044204-DB6A-6045-9643-F39AD3F8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6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0B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260BC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260BC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260BC"/>
    <w:pPr>
      <w:spacing w:before="120" w:after="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260BC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260BC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260BC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260BC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260BC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260BC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260BC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260BC"/>
    <w:pPr>
      <w:spacing w:after="0"/>
      <w:ind w:left="1920"/>
    </w:pPr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260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6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6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0BC"/>
  </w:style>
  <w:style w:type="character" w:styleId="PageNumber">
    <w:name w:val="page number"/>
    <w:basedOn w:val="DefaultParagraphFont"/>
    <w:uiPriority w:val="99"/>
    <w:semiHidden/>
    <w:unhideWhenUsed/>
    <w:rsid w:val="00126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2606E9-5F46-2A4F-BA4D-DF5725CAA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Ewer</dc:creator>
  <cp:keywords/>
  <dc:description/>
  <cp:lastModifiedBy>Michael Ewer</cp:lastModifiedBy>
  <cp:revision>2</cp:revision>
  <dcterms:created xsi:type="dcterms:W3CDTF">2026-04-04T15:22:00Z</dcterms:created>
  <dcterms:modified xsi:type="dcterms:W3CDTF">2026-04-04T15:35:00Z</dcterms:modified>
</cp:coreProperties>
</file>