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spacing w:line="360" w:lineRule="auto"/>
        <w:jc w:val="center"/>
        <w:rPr>
          <w:rFonts w:ascii="Times New Roman" w:cs="Times New Roman" w:eastAsia="Times New Roman" w:hAnsi="Times New Roman"/>
          <w:sz w:val="42"/>
          <w:szCs w:val="42"/>
        </w:rPr>
      </w:pPr>
      <w:bookmarkStart w:colFirst="0" w:colLast="0" w:name="_2lt0n3fymeqb" w:id="0"/>
      <w:bookmarkEnd w:id="0"/>
      <w:r w:rsidDel="00000000" w:rsidR="00000000" w:rsidRPr="00000000">
        <w:rPr>
          <w:rFonts w:ascii="Times New Roman" w:cs="Times New Roman" w:eastAsia="Times New Roman" w:hAnsi="Times New Roman"/>
          <w:sz w:val="42"/>
          <w:szCs w:val="42"/>
          <w:rtl w:val="0"/>
        </w:rPr>
        <w:t xml:space="preserve">Myotonia congenita</w:t>
      </w:r>
    </w:p>
    <w:p w:rsidR="00000000" w:rsidDel="00000000" w:rsidP="00000000" w:rsidRDefault="00000000" w:rsidRPr="00000000" w14:paraId="00000002">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w:t>
      </w:r>
    </w:p>
    <w:p w:rsidR="00000000" w:rsidDel="00000000" w:rsidP="00000000" w:rsidRDefault="00000000" w:rsidRPr="00000000" w14:paraId="000000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Myotonia congenita is the most common type of skeletal muscle channelopathy (Imbrici et al., 2015). Myotonia congenita can be categorised into two types; autosomal dominant Thomsen disease; and autosomal recessive Beckers disease (Lee et al., 2013). The symptoms for Thomsen disease are a delayed relaxation of skeletal muscles after </w:t>
      </w:r>
      <w:r w:rsidDel="00000000" w:rsidR="00000000" w:rsidRPr="00000000">
        <w:rPr>
          <w:rFonts w:ascii="Times New Roman" w:cs="Times New Roman" w:eastAsia="Times New Roman" w:hAnsi="Times New Roman"/>
          <w:sz w:val="24"/>
          <w:szCs w:val="24"/>
          <w:rtl w:val="0"/>
        </w:rPr>
        <w:t xml:space="preserve">contraction</w:t>
      </w:r>
      <w:r w:rsidDel="00000000" w:rsidR="00000000" w:rsidRPr="00000000">
        <w:rPr>
          <w:rFonts w:ascii="Times New Roman" w:cs="Times New Roman" w:eastAsia="Times New Roman" w:hAnsi="Times New Roman"/>
          <w:sz w:val="24"/>
          <w:szCs w:val="24"/>
          <w:rtl w:val="0"/>
        </w:rPr>
        <w:t xml:space="preserve">, muscle hypertrophy resulting in an increase of muscle mass and, infrequently, transient muscle weakness (Thomas et al., 2008). The onset age for Thomsen myotonia is typically below 10 years old (Lossin &amp; George, 2008). The symptoms for Beckers disease are a delayed relaxation of skeletal muscles after contraction typically with more severe muscle stiffness as opposed to Thomsen disease, a transient weakness of skeletal muscles and occasionally permanent muscle weakness and atrophy (Thomas et al., 2008). The onset age for Beckers disease is typically over 10 years old  (Thomas et al., 2008). </w:t>
      </w:r>
    </w:p>
    <w:p w:rsidR="00000000" w:rsidDel="00000000" w:rsidP="00000000" w:rsidRDefault="00000000" w:rsidRPr="00000000" w14:paraId="0000000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Genetic basis of myotonia congenita</w:t>
      </w:r>
    </w:p>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Myotonia congenita is caused by a loss of function mutation in the CLC-1 voltage gated chloride channel protein found primarily in the T- tubules and sarcolemma of the skeletal muscle cells (Wei et al., 2019). The specific gene affected with myotonia congenita is the CLCN1 gene located in chromosome 7q35 (Thomas et al., 2008). A genetic mutation takes place when there is a change to one or more of the nitrogenous bases found in DNA, this change can be either deleterious, beneficial or neutral to the organism (Saladin &amp; McFarland, 2022). The CLC-1 chloride channel has two protopores, commonly known as “double barreled” in appearance, that allow transportation of chloride ions in and out of myocytes (Lee et al., 2013). The CLC-1 chloride channel has two mechanisms for chloride ion transportation, the first being the common gate which controls the movement of the two protopores concurrently, the second mechanism for transportation is the fast gate which controls a single protopore at a time and functions independently of the common gate (Jehasse et al., 2021).</w:t>
      </w:r>
    </w:p>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inheritance of myotonia congenita can be either autosomal dominant or autosomal recessive (Lossin &amp; George, 2008). Autosomal dominant inheritance of myotonia congenita occurs when one of the parents chromosomes has a dominant mutant allele that carries through to birth (Thomas et al., 2008). Autosomal recessive inheritance of myotonia congenita occurs when both of the parents chromosomes carry a recessive mutant allele in the relevant locus (Thomas et al., 2008). The autosomal dominant inheritance of myotonia congenita affects the common gate mechanism of the CLC-1 channel protein whilst the autosomal recessive inheritance of myotonia congenita affects the individual fast gates (Lee et al., 2013).</w:t>
      </w:r>
    </w:p>
    <w:p w:rsidR="00000000" w:rsidDel="00000000" w:rsidP="00000000" w:rsidRDefault="00000000" w:rsidRPr="00000000" w14:paraId="0000000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role of the CLC-1 chloride channel in muscle contraction </w:t>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of a muscle contraction begins with an action potential traveling down a motor neuron to a neuromuscular junction. When the action potential reaches the axon terminal it triggers an influx of calcium ions that attach to synaptic vesicles in turn making the synaptic vesicles release acetylcholine into the synaptic cleft (Saladin &amp; McFarland, 2022). The acetylcholine molecules (ACh) binds to ACh receptors located in the post synaptic membrane triggering them to open and allow sodium ions (Na+) into the cell and potassium (K+) out (Saladin &amp; McFarland, 2022). The resting membrane potential of muscle cells is between -70 and -90mv (Hopkins, 2006), when the Na+ and K+ channels open in the sarcolemma this depolorises the muscle cell and when the cell reaches threshold the voltage gated Na+ channels open depolorising the cell drastically (Saladin &amp; McFarland, 2022). This action potential travels along the sarcolemma and into the T-tubules (Saladin &amp; McFarland, 2022). Chloride channels are essential for the repolorisation of skeletal muscles after an action potential depolorises the cell (Hopkins, 2006). Myotonia congenita affects the voltage gated CLC-1 chloride channel by reducing the channel’s conductance (Lossin &amp; George, 2008). The change in conductance of the CLC-1 chloride channel severely affects muscle repolorisation leading to hyperexcitability in the muscle cell (Lossin &amp; George, 2008). </w:t>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protein synthesis of the CLC-1 chloride channel</w:t>
      </w:r>
    </w:p>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Protein synthesis of the CLC-1 chloride channel begins with transcription where a RNA polymerase enzyme opens the double helix structure of DNA revealing the nitrogenous bases of the CLCN1 gene (Saladin &amp; McFarland, 2022). Free nitrogenous bases are assembled according to the DNA code with the nitrogenous base guanine pairing with the nitrogenous base cytosine (Saladin &amp; McFarland, 2022). After the mRNA is assembled, the mRNA is further edited in the nucleus removing noncoding segments and spliced together to make the final mRNA for protein synthesis (Saladin &amp; McFarland, 2022). The second stage of protein synthesis is called translation, when mRNA travels out of the nuclear pores into the cytoplasm a ribosome attaches to the mRNA, docks onto the rough endoplasmic reticulum and begins reading the mRNA codons (Saladin &amp; McFarland, 2022). When the ribosome reads the mRNA codons, tRNA collects the correct amino acids and transports them to the ribosome to be assembled (Saladin &amp; McFarland, 2022). After the ribosome reads a stop codon the CLC-1 protein is injected from the ribosome into the rough endoplasmic reticulum (Saladin &amp; McFarland, 2022). The CLC-1 protein is processed in the rough ER with enzymes rearranging and cutting the amino acids eventually packaging them into transport vesicles (Saladin &amp; McFarland, 2022). The transport vesicles move the proteins to the cisterna of the Golgi apparatus for further processing (Saladin &amp; McFarland, 2022).</w:t>
      </w:r>
    </w:p>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The effects of myotonia congenita on muscle innervation and contractility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Myotonia congenita has a phenotype of delayed relaxation after voluntary movement of a skeletal muscle (Imbrici et al., 2015). Patients with myotonia congenita describe symtoms easing with repeated movement, giving rise to the “warm up phenomenon” (Thomas et al., 2008). The severity of myotonia congenita depends on the reduction of the CLC-1 chloride channel conductance, with an 80% reduction yielding a severe phenotype compared to a smaller percentage (Jehasse et al., 2021). Skeletal muscle cells repolorise differently than nerve cells relying predominantly on Cl- ion channels instead of K+ ion channels for repolorisation (Hopkins, 2006). This requirement of Cl- channels for repolorisation is because of the leakage of K+ ions into the extracellular space with repeated contraction of a skeletal muscle, this is where the CLC-1 voltage gated channel protein repolorises the muscle cell and maintains it’s resting potential (Hopkins, 2006).  </w:t>
      </w:r>
    </w:p>
    <w:p w:rsidR="00000000" w:rsidDel="00000000" w:rsidP="00000000" w:rsidRDefault="00000000" w:rsidRPr="00000000" w14:paraId="0000001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         </w:t>
      </w:r>
    </w:p>
    <w:p w:rsidR="00000000" w:rsidDel="00000000" w:rsidP="00000000" w:rsidRDefault="00000000" w:rsidRPr="00000000" w14:paraId="000000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Myotonia congenita is an inherited skeletal muscle channelopathy. Patients symptoms depend on whether they have autosomal dominant or autosomal recessive myotonia congenita with autosomal recessive being a more severe phenotype. The cause of myotonia congenita is a loss of function mutation in the CLCN1 gene that affects the CLC-1 channel protein from functioning properly. Myotonia congenita does not effect life span with patients living long and productive lives.                     </w:t>
      </w:r>
    </w:p>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9">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D">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2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ind w:left="708.6614173228347" w:hanging="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Imbrici, P., Maggi, L., Mangiatordi, G. F., Dinardo, M. M., Altamura, C., Brugnoni, R., Alberga, D., Pinter, G. L., Ricci, G., Siciliano, G., Micheli, R., Annicchiarico, G., Lattanzi, G., Nicolotti, O., Morandi, L., Bernasconi, P., Desaphy, J. F., Mantegazza, R., &amp; Camerino, D. C. (2015). </w:t>
      </w:r>
      <w:r w:rsidDel="00000000" w:rsidR="00000000" w:rsidRPr="00000000">
        <w:rPr>
          <w:rFonts w:ascii="Times New Roman" w:cs="Times New Roman" w:eastAsia="Times New Roman" w:hAnsi="Times New Roman"/>
          <w:sz w:val="24"/>
          <w:szCs w:val="24"/>
          <w:rtl w:val="0"/>
        </w:rPr>
        <w:t xml:space="preserve">ClC-1 mutations in myotonia congenita patients: insights into molecular gating mechanisms and genotype-phenotype correlation.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The Journal of physiology</w:t>
      </w:r>
      <w:r w:rsidDel="00000000" w:rsidR="00000000" w:rsidRPr="00000000">
        <w:rPr>
          <w:rFonts w:ascii="Times New Roman" w:cs="Times New Roman" w:eastAsia="Times New Roman" w:hAnsi="Times New Roman"/>
          <w:sz w:val="24"/>
          <w:szCs w:val="24"/>
          <w:rtl w:val="0"/>
        </w:rPr>
        <w:t xml:space="preserve">, 593(18), 4181–4199. </w:t>
      </w:r>
      <w:hyperlink r:id="rId6">
        <w:r w:rsidDel="00000000" w:rsidR="00000000" w:rsidRPr="00000000">
          <w:rPr>
            <w:rFonts w:ascii="Times New Roman" w:cs="Times New Roman" w:eastAsia="Times New Roman" w:hAnsi="Times New Roman"/>
            <w:color w:val="1155cc"/>
            <w:sz w:val="24"/>
            <w:szCs w:val="24"/>
            <w:u w:val="single"/>
            <w:rtl w:val="0"/>
          </w:rPr>
          <w:t xml:space="preserve">https://doi.org/10.1113/JP270358</w:t>
        </w:r>
      </w:hyperlink>
      <w:r w:rsidDel="00000000" w:rsidR="00000000" w:rsidRPr="00000000">
        <w:rPr>
          <w:rtl w:val="0"/>
        </w:rPr>
      </w:r>
    </w:p>
    <w:p w:rsidR="00000000" w:rsidDel="00000000" w:rsidP="00000000" w:rsidRDefault="00000000" w:rsidRPr="00000000" w14:paraId="0000002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ind w:left="708.6614173228347" w:hanging="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Saladin, K., &amp; McFarland, R. (2022). </w:t>
      </w:r>
      <w:r w:rsidDel="00000000" w:rsidR="00000000" w:rsidRPr="00000000">
        <w:rPr>
          <w:rFonts w:ascii="Times New Roman" w:cs="Times New Roman" w:eastAsia="Times New Roman" w:hAnsi="Times New Roman"/>
          <w:i w:val="1"/>
          <w:sz w:val="24"/>
          <w:szCs w:val="24"/>
          <w:rtl w:val="0"/>
        </w:rPr>
        <w:t xml:space="preserve">Essentials of Anatomy and Physiology. </w:t>
      </w:r>
      <w:r w:rsidDel="00000000" w:rsidR="00000000" w:rsidRPr="00000000">
        <w:rPr>
          <w:rFonts w:ascii="Times New Roman" w:cs="Times New Roman" w:eastAsia="Times New Roman" w:hAnsi="Times New Roman"/>
          <w:sz w:val="24"/>
          <w:szCs w:val="24"/>
          <w:rtl w:val="0"/>
        </w:rPr>
        <w:t xml:space="preserve">(3 ed.). McGraw Hill. </w:t>
      </w:r>
    </w:p>
    <w:p w:rsidR="00000000" w:rsidDel="00000000" w:rsidP="00000000" w:rsidRDefault="00000000" w:rsidRPr="00000000" w14:paraId="00000028">
      <w:pPr>
        <w:spacing w:line="360" w:lineRule="auto"/>
        <w:ind w:left="708.6614173228347" w:hanging="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360" w:lineRule="auto"/>
        <w:ind w:left="708.6614173228347" w:hanging="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Lee, T. T., Zhang, X. D., Chuang, C. C., Chen, J. J., Chen, Y. A., Chen, S. C., Chen, T. Y., &amp; Tang, C. Y. (2013). Myotonia congenita mutation enhances the degradation of human CLC-1 chloride channels</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PloS one</w:t>
      </w:r>
      <w:r w:rsidDel="00000000" w:rsidR="00000000" w:rsidRPr="00000000">
        <w:rPr>
          <w:rFonts w:ascii="Times New Roman" w:cs="Times New Roman" w:eastAsia="Times New Roman" w:hAnsi="Times New Roman"/>
          <w:sz w:val="24"/>
          <w:szCs w:val="24"/>
          <w:rtl w:val="0"/>
        </w:rPr>
        <w:t xml:space="preserve">, 8(2), e55930. </w:t>
      </w:r>
      <w:hyperlink r:id="rId7">
        <w:r w:rsidDel="00000000" w:rsidR="00000000" w:rsidRPr="00000000">
          <w:rPr>
            <w:rFonts w:ascii="Times New Roman" w:cs="Times New Roman" w:eastAsia="Times New Roman" w:hAnsi="Times New Roman"/>
            <w:color w:val="1155cc"/>
            <w:sz w:val="24"/>
            <w:szCs w:val="24"/>
            <w:u w:val="single"/>
            <w:rtl w:val="0"/>
          </w:rPr>
          <w:t xml:space="preserve">https://doi.org/10.1371/journal.pone.0055930</w:t>
        </w:r>
      </w:hyperlink>
      <w:r w:rsidDel="00000000" w:rsidR="00000000" w:rsidRPr="00000000">
        <w:rPr>
          <w:rtl w:val="0"/>
        </w:rPr>
      </w:r>
    </w:p>
    <w:p w:rsidR="00000000" w:rsidDel="00000000" w:rsidP="00000000" w:rsidRDefault="00000000" w:rsidRPr="00000000" w14:paraId="0000002A">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360" w:lineRule="auto"/>
        <w:ind w:left="708.6614173228347" w:hanging="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Thomas, J., Tarleton, J. and Baker, S.K. (2008), Recessive CLCN1 mutation presenting as thomsen disease</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Muscle Nerve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38</w:t>
      </w:r>
      <w:r w:rsidDel="00000000" w:rsidR="00000000" w:rsidRPr="00000000">
        <w:rPr>
          <w:rFonts w:ascii="Times New Roman" w:cs="Times New Roman" w:eastAsia="Times New Roman" w:hAnsi="Times New Roman"/>
          <w:sz w:val="24"/>
          <w:szCs w:val="24"/>
          <w:rtl w:val="0"/>
        </w:rPr>
        <w:t xml:space="preserve">, 1515-1517. </w:t>
      </w:r>
      <w:hyperlink r:id="rId8">
        <w:r w:rsidDel="00000000" w:rsidR="00000000" w:rsidRPr="00000000">
          <w:rPr>
            <w:rFonts w:ascii="Times New Roman" w:cs="Times New Roman" w:eastAsia="Times New Roman" w:hAnsi="Times New Roman"/>
            <w:color w:val="1155cc"/>
            <w:sz w:val="24"/>
            <w:szCs w:val="24"/>
            <w:u w:val="single"/>
            <w:rtl w:val="0"/>
          </w:rPr>
          <w:t xml:space="preserve">https://doi-org.ezproxy.newcastle.edu.au/10.1002/mus.21121</w:t>
        </w:r>
      </w:hyperlink>
      <w:r w:rsidDel="00000000" w:rsidR="00000000" w:rsidRPr="00000000">
        <w:rPr>
          <w:rtl w:val="0"/>
        </w:rPr>
      </w:r>
    </w:p>
    <w:p w:rsidR="00000000" w:rsidDel="00000000" w:rsidP="00000000" w:rsidRDefault="00000000" w:rsidRPr="00000000" w14:paraId="0000002C">
      <w:pPr>
        <w:spacing w:line="360" w:lineRule="auto"/>
        <w:ind w:left="708.6614173228347" w:hanging="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360" w:lineRule="auto"/>
        <w:ind w:left="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Lossin, C., &amp; George Jr, A. L. (2008). Myotonia congenita. </w:t>
      </w:r>
      <w:r w:rsidDel="00000000" w:rsidR="00000000" w:rsidRPr="00000000">
        <w:rPr>
          <w:rFonts w:ascii="Times New Roman" w:cs="Times New Roman" w:eastAsia="Times New Roman" w:hAnsi="Times New Roman"/>
          <w:i w:val="1"/>
          <w:sz w:val="24"/>
          <w:szCs w:val="24"/>
          <w:rtl w:val="0"/>
        </w:rPr>
        <w:t xml:space="preserve">Advances in genetics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63</w:t>
      </w:r>
      <w:r w:rsidDel="00000000" w:rsidR="00000000" w:rsidRPr="00000000">
        <w:rPr>
          <w:rFonts w:ascii="Times New Roman" w:cs="Times New Roman" w:eastAsia="Times New Roman" w:hAnsi="Times New Roman"/>
          <w:sz w:val="24"/>
          <w:szCs w:val="24"/>
          <w:rtl w:val="0"/>
        </w:rPr>
        <w:t xml:space="preserve">, 25-55.</w:t>
      </w:r>
    </w:p>
    <w:p w:rsidR="00000000" w:rsidDel="00000000" w:rsidP="00000000" w:rsidRDefault="00000000" w:rsidRPr="00000000" w14:paraId="0000002E">
      <w:pPr>
        <w:spacing w:line="360" w:lineRule="auto"/>
        <w:ind w:left="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360" w:lineRule="auto"/>
        <w:ind w:left="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Zhang Wei, Meng Huaxing, Wang Xiaomei, Wang Juan, Chang Xueli, Zhang Jing &amp; Guo Junhong (2019) Identification of two novel compound heterozygous CLCN1 mutations associated with autosomal recessive myotonia congenita,</w:t>
      </w:r>
      <w:r w:rsidDel="00000000" w:rsidR="00000000" w:rsidRPr="00000000">
        <w:rPr>
          <w:rFonts w:ascii="Times New Roman" w:cs="Times New Roman" w:eastAsia="Times New Roman" w:hAnsi="Times New Roman"/>
          <w:i w:val="1"/>
          <w:sz w:val="24"/>
          <w:szCs w:val="24"/>
          <w:rtl w:val="0"/>
        </w:rPr>
        <w:t xml:space="preserve"> Neurological Research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41</w:t>
      </w:r>
      <w:r w:rsidDel="00000000" w:rsidR="00000000" w:rsidRPr="00000000">
        <w:rPr>
          <w:rFonts w:ascii="Times New Roman" w:cs="Times New Roman" w:eastAsia="Times New Roman" w:hAnsi="Times New Roman"/>
          <w:sz w:val="24"/>
          <w:szCs w:val="24"/>
          <w:rtl w:val="0"/>
        </w:rPr>
        <w:t xml:space="preserve">(12), 1069-1074, </w:t>
      </w:r>
      <w:hyperlink r:id="rId9">
        <w:r w:rsidDel="00000000" w:rsidR="00000000" w:rsidRPr="00000000">
          <w:rPr>
            <w:rFonts w:ascii="Times New Roman" w:cs="Times New Roman" w:eastAsia="Times New Roman" w:hAnsi="Times New Roman"/>
            <w:color w:val="1155cc"/>
            <w:sz w:val="24"/>
            <w:szCs w:val="24"/>
            <w:u w:val="single"/>
            <w:rtl w:val="0"/>
          </w:rPr>
          <w:t xml:space="preserve">https://doi-org.ezproxy.newcastle.edu.au/10.1080/01616412.2019.1672392</w:t>
        </w:r>
      </w:hyperlink>
      <w:r w:rsidDel="00000000" w:rsidR="00000000" w:rsidRPr="00000000">
        <w:rPr>
          <w:rtl w:val="0"/>
        </w:rPr>
      </w:r>
    </w:p>
    <w:p w:rsidR="00000000" w:rsidDel="00000000" w:rsidP="00000000" w:rsidRDefault="00000000" w:rsidRPr="00000000" w14:paraId="00000030">
      <w:pPr>
        <w:spacing w:line="360" w:lineRule="auto"/>
        <w:ind w:left="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360" w:lineRule="auto"/>
        <w:ind w:left="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Jehasse, K., Jacquerie, K., de Froidmont, A., Lemoine, C., Grisar, T., Stouffs, K., Lakaye, B., &amp; Seutin, V. (2021). Functional analysis of the F337C mutation in the CLCN1 gene associated with dominant myotonia congenita reveals an alteration of the macroscopic conductance and voltage dependence. </w:t>
      </w:r>
      <w:r w:rsidDel="00000000" w:rsidR="00000000" w:rsidRPr="00000000">
        <w:rPr>
          <w:rFonts w:ascii="Times New Roman" w:cs="Times New Roman" w:eastAsia="Times New Roman" w:hAnsi="Times New Roman"/>
          <w:i w:val="1"/>
          <w:sz w:val="24"/>
          <w:szCs w:val="24"/>
          <w:rtl w:val="0"/>
        </w:rPr>
        <w:t xml:space="preserve">Molecular genetics &amp; genomic medicine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9</w:t>
      </w:r>
      <w:r w:rsidDel="00000000" w:rsidR="00000000" w:rsidRPr="00000000">
        <w:rPr>
          <w:rFonts w:ascii="Times New Roman" w:cs="Times New Roman" w:eastAsia="Times New Roman" w:hAnsi="Times New Roman"/>
          <w:sz w:val="24"/>
          <w:szCs w:val="24"/>
          <w:rtl w:val="0"/>
        </w:rPr>
        <w:t xml:space="preserve">(2), e1588. </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https://doi.org/10.1002/mgg3.1588</w:t>
        </w:r>
      </w:hyperlink>
      <w:r w:rsidDel="00000000" w:rsidR="00000000" w:rsidRPr="00000000">
        <w:rPr>
          <w:rtl w:val="0"/>
        </w:rPr>
      </w:r>
    </w:p>
    <w:p w:rsidR="00000000" w:rsidDel="00000000" w:rsidP="00000000" w:rsidRDefault="00000000" w:rsidRPr="00000000" w14:paraId="00000032">
      <w:pPr>
        <w:spacing w:line="360" w:lineRule="auto"/>
        <w:ind w:left="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360" w:lineRule="auto"/>
        <w:ind w:left="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Philip M Hopkins. (2006). Skeletal muscle physiology. </w:t>
      </w:r>
      <w:r w:rsidDel="00000000" w:rsidR="00000000" w:rsidRPr="00000000">
        <w:rPr>
          <w:rFonts w:ascii="Times New Roman" w:cs="Times New Roman" w:eastAsia="Times New Roman" w:hAnsi="Times New Roman"/>
          <w:i w:val="1"/>
          <w:sz w:val="24"/>
          <w:szCs w:val="24"/>
          <w:rtl w:val="0"/>
        </w:rPr>
        <w:t xml:space="preserve">Continuing Education in Anaesthesia Critical Care &amp; Pain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(1), 1–6, </w:t>
      </w:r>
      <w:hyperlink r:id="rId11">
        <w:r w:rsidDel="00000000" w:rsidR="00000000" w:rsidRPr="00000000">
          <w:rPr>
            <w:rFonts w:ascii="Times New Roman" w:cs="Times New Roman" w:eastAsia="Times New Roman" w:hAnsi="Times New Roman"/>
            <w:color w:val="1155cc"/>
            <w:sz w:val="24"/>
            <w:szCs w:val="24"/>
            <w:u w:val="single"/>
            <w:rtl w:val="0"/>
          </w:rPr>
          <w:t xml:space="preserve">https://doi.org/10.1093/bjaceaccp/mki062</w:t>
        </w:r>
      </w:hyperlink>
      <w:r w:rsidDel="00000000" w:rsidR="00000000" w:rsidRPr="00000000">
        <w:rPr>
          <w:rtl w:val="0"/>
        </w:rPr>
      </w:r>
    </w:p>
    <w:p w:rsidR="00000000" w:rsidDel="00000000" w:rsidP="00000000" w:rsidRDefault="00000000" w:rsidRPr="00000000" w14:paraId="00000034">
      <w:pPr>
        <w:spacing w:line="360" w:lineRule="auto"/>
        <w:ind w:left="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360" w:lineRule="auto"/>
        <w:ind w:left="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ind w:left="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ind w:left="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ind w:left="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ind w:left="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ind w:left="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60" w:lineRule="auto"/>
        <w:ind w:left="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360" w:lineRule="auto"/>
        <w:ind w:left="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360" w:lineRule="auto"/>
        <w:ind w:left="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360" w:lineRule="auto"/>
        <w:ind w:left="708.6614173228347" w:hanging="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360" w:lineRule="auto"/>
        <w:ind w:left="708.6614173228347" w:hanging="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360" w:lineRule="auto"/>
        <w:rPr>
          <w:sz w:val="24"/>
          <w:szCs w:val="24"/>
        </w:rPr>
      </w:pPr>
      <w:r w:rsidDel="00000000" w:rsidR="00000000" w:rsidRPr="00000000">
        <w:rPr>
          <w:rtl w:val="0"/>
        </w:rPr>
      </w:r>
    </w:p>
    <w:p w:rsidR="00000000" w:rsidDel="00000000" w:rsidP="00000000" w:rsidRDefault="00000000" w:rsidRPr="00000000" w14:paraId="00000047">
      <w:pPr>
        <w:spacing w:line="360" w:lineRule="auto"/>
        <w:rPr>
          <w:sz w:val="24"/>
          <w:szCs w:val="24"/>
        </w:rPr>
      </w:pPr>
      <w:r w:rsidDel="00000000" w:rsidR="00000000" w:rsidRPr="00000000">
        <w:rPr>
          <w:rtl w:val="0"/>
        </w:rPr>
      </w:r>
    </w:p>
    <w:sectPr>
      <w:footerReference r:id="rId12" w:type="default"/>
      <w:pgSz w:h="16834" w:w="11909"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i.org/10.1093/bjaceaccp/mki062" TargetMode="External"/><Relationship Id="rId10" Type="http://schemas.openxmlformats.org/officeDocument/2006/relationships/hyperlink" Target="https://doi.org/10.1002/mgg3.1588" TargetMode="External"/><Relationship Id="rId12" Type="http://schemas.openxmlformats.org/officeDocument/2006/relationships/footer" Target="footer1.xml"/><Relationship Id="rId9" Type="http://schemas.openxmlformats.org/officeDocument/2006/relationships/hyperlink" Target="https://doi-org.ezproxy.newcastle.edu.au/10.1080/01616412.2019.1672392" TargetMode="External"/><Relationship Id="rId5" Type="http://schemas.openxmlformats.org/officeDocument/2006/relationships/styles" Target="styles.xml"/><Relationship Id="rId6" Type="http://schemas.openxmlformats.org/officeDocument/2006/relationships/hyperlink" Target="https://doi.org/10.1113/JP270358" TargetMode="External"/><Relationship Id="rId7" Type="http://schemas.openxmlformats.org/officeDocument/2006/relationships/hyperlink" Target="https://doi.org/10.1371/journal.pone.0055930" TargetMode="External"/><Relationship Id="rId8" Type="http://schemas.openxmlformats.org/officeDocument/2006/relationships/hyperlink" Target="https://doi-org.ezproxy.newcastle.edu.au/10.1002/mus.211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