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bookmarkStart w:id="0" w:name="_GoBack"/>
      <w:bookmarkEnd w:id="0"/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257A6" w:rsidRP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Գլուխ 5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Կենսագործունեության Անվտանգության Բաժին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971031" w:rsidRDefault="00971031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E75ECC" w:rsidRDefault="00E75ECC" w:rsidP="00971031">
      <w:pPr>
        <w:spacing w:line="360" w:lineRule="auto"/>
        <w:jc w:val="center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lastRenderedPageBreak/>
        <w:t>Կենսագործունեության անվտանգություն</w:t>
      </w:r>
    </w:p>
    <w:p w:rsidR="00E75ECC" w:rsidRDefault="00E75ECC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t>5</w:t>
      </w:r>
      <w:r>
        <w:rPr>
          <w:rFonts w:ascii="Sylfaen" w:hAnsi="Sylfaen" w:cs="Arial"/>
          <w:sz w:val="28"/>
          <w:szCs w:val="28"/>
        </w:rPr>
        <w:t xml:space="preserve">.1 </w:t>
      </w:r>
      <w:r>
        <w:rPr>
          <w:rFonts w:ascii="Sylfaen" w:hAnsi="Sylfaen" w:cs="Arial"/>
          <w:sz w:val="28"/>
          <w:szCs w:val="28"/>
          <w:lang w:val="hy-AM"/>
        </w:rPr>
        <w:t xml:space="preserve">Հաշվիչ կենտրոններում աշխատանքի </w:t>
      </w:r>
      <w:r w:rsidR="00971031">
        <w:rPr>
          <w:rFonts w:ascii="Sylfaen" w:hAnsi="Sylfaen" w:cs="Arial"/>
          <w:sz w:val="28"/>
          <w:szCs w:val="28"/>
          <w:lang w:val="hy-AM"/>
        </w:rPr>
        <w:t>պաշտպանությանը ներկայացվող պահանջները</w:t>
      </w:r>
    </w:p>
    <w:p w:rsidR="00971031" w:rsidRDefault="00971031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</w:p>
    <w:p w:rsidR="00971031" w:rsidRPr="00EB2311" w:rsidRDefault="00971031" w:rsidP="007C6B13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>Գիտության և տեխնիկայի զարգացումը հանգեցրել է նրան, որ մշակվել են աշխատանքի կազմակերպման նոր և արդյունավետ տարբերակներ։</w:t>
      </w:r>
      <w:r w:rsidR="007C6B13" w:rsidRPr="00EB2311">
        <w:rPr>
          <w:rFonts w:ascii="Sylfaen" w:hAnsi="Sylfaen" w:cs="Arial"/>
          <w:sz w:val="24"/>
          <w:szCs w:val="24"/>
          <w:lang w:val="hy-AM"/>
        </w:rPr>
        <w:t xml:space="preserve"> Այդ ասպարեզում ամենամեծ նվաճումը եղել է համակարգչի ստեղծումը։ Ներկայումս համակարգիչները զգալիորեն հեշտացնում են մարդու աշխատանքը։ Այդ իսկ պատճառով համակարգիչները շատ լայն կիրառում են գտել անհատ օգտագործողների և ձեռնարկությունների աշխատանքի կազմակերպման մեջ։</w:t>
      </w:r>
    </w:p>
    <w:p w:rsidR="00EB2311" w:rsidRDefault="007C6B13" w:rsidP="00E75ECC">
      <w:pPr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ab/>
        <w:t xml:space="preserve">Սակայն,բոլոր առավելությունների հետ մեկտեղ, համակարգիչները բացասաբար են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ազ</w:t>
      </w:r>
      <w:r w:rsidRPr="00EB2311">
        <w:rPr>
          <w:rFonts w:ascii="Sylfaen" w:hAnsi="Sylfaen" w:cs="Arial"/>
          <w:sz w:val="24"/>
          <w:szCs w:val="24"/>
          <w:lang w:val="hy-AM"/>
        </w:rPr>
        <w:t xml:space="preserve">դում մարդու առողջության վրա։ Այդ պատճառով անհրաժեշտ է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մանրամասնորեն ուսումնասիրել համակարգչին ներկայացվող պահանջները, որպեսզի վերջինիս տված վնասները նվազեցվեն, ինչը կբերի աշխատանքի արդյունավետության բարձրացմանը, մարդու առողջության պահպանմանը, անվտանգ և անվնաս աշխատանքային պայմանների ստեղծմանը</w:t>
      </w:r>
      <w:r w:rsidR="00EB2311">
        <w:rPr>
          <w:rFonts w:ascii="Sylfaen" w:hAnsi="Sylfaen" w:cs="Arial"/>
          <w:sz w:val="24"/>
          <w:szCs w:val="24"/>
          <w:lang w:val="hy-AM"/>
        </w:rPr>
        <w:t>։</w:t>
      </w:r>
    </w:p>
    <w:p w:rsidR="00EB2311" w:rsidRPr="00EB2311" w:rsidRDefault="00EB2311" w:rsidP="00E75ECC">
      <w:pPr>
        <w:jc w:val="both"/>
        <w:rPr>
          <w:rFonts w:ascii="Sylfaen" w:hAnsi="Sylfaen" w:cs="Arial"/>
          <w:sz w:val="24"/>
          <w:szCs w:val="24"/>
          <w:lang w:val="hy-AM"/>
        </w:rPr>
      </w:pPr>
    </w:p>
    <w:p w:rsidR="00EB2311" w:rsidRPr="00EB2311" w:rsidRDefault="00EB2311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  <w:r w:rsidRPr="00EB2311">
        <w:rPr>
          <w:rFonts w:ascii="Sylfaen" w:hAnsi="Sylfaen" w:cs="Arial"/>
          <w:sz w:val="28"/>
          <w:szCs w:val="28"/>
        </w:rPr>
        <w:t>PC-</w:t>
      </w:r>
      <w:r w:rsidR="00BF738A" w:rsidRPr="00EB2311">
        <w:rPr>
          <w:rFonts w:ascii="Sylfaen" w:hAnsi="Sylfaen" w:cs="Arial"/>
          <w:sz w:val="28"/>
          <w:szCs w:val="28"/>
          <w:lang w:val="hy-AM"/>
        </w:rPr>
        <w:t>ների տեղակայման</w:t>
      </w:r>
      <w:r w:rsidRPr="00EB2311">
        <w:rPr>
          <w:rFonts w:ascii="Sylfaen" w:hAnsi="Sylfaen" w:cs="Arial"/>
          <w:sz w:val="28"/>
          <w:szCs w:val="28"/>
          <w:lang w:val="hy-AM"/>
        </w:rPr>
        <w:t xml:space="preserve"> տարածքային պահանջներ</w:t>
      </w:r>
    </w:p>
    <w:p w:rsidR="00EB2311" w:rsidRDefault="00EB23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ների և մոնիտորի տեղակայման տարածքները պետք է ունենան բնական և արհեստական լուսավորվածություն։</w:t>
      </w:r>
    </w:p>
    <w:p w:rsidR="00EB2311" w:rsidRDefault="00EB23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Բնականն իրականացվում է լուսամուտների միջողով, որոնք ցանկալի է տեղակայել հյուսիսային կամ հյուսիս-արևելյան ճակատներում։ Դա պետք է ապահոցի բնական լուսավորվածության գործակից </w:t>
      </w:r>
      <w:r>
        <w:rPr>
          <w:rFonts w:ascii="Sylfaen" w:hAnsi="Sylfaen" w:cs="Arial"/>
          <w:sz w:val="24"/>
          <w:szCs w:val="24"/>
        </w:rPr>
        <w:t xml:space="preserve">1,2 % </w:t>
      </w:r>
      <w:r>
        <w:rPr>
          <w:rFonts w:ascii="Sylfaen" w:hAnsi="Sylfaen" w:cs="Arial"/>
          <w:sz w:val="24"/>
          <w:szCs w:val="24"/>
          <w:lang w:val="hy-AM"/>
        </w:rPr>
        <w:t xml:space="preserve">մշտական ձյունածածկույթով, </w:t>
      </w:r>
      <w:r>
        <w:rPr>
          <w:rFonts w:ascii="Sylfaen" w:hAnsi="Sylfaen" w:cs="Arial"/>
          <w:sz w:val="24"/>
          <w:szCs w:val="24"/>
        </w:rPr>
        <w:t xml:space="preserve">1,5 % </w:t>
      </w:r>
      <w:r>
        <w:rPr>
          <w:rFonts w:ascii="Sylfaen" w:hAnsi="Sylfaen" w:cs="Arial"/>
          <w:sz w:val="24"/>
          <w:szCs w:val="24"/>
          <w:lang w:val="hy-AM"/>
        </w:rPr>
        <w:t>սովորական վայրերում։</w:t>
      </w:r>
    </w:p>
    <w:p w:rsidR="00BF738A" w:rsidRDefault="00EB23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Մեկ մարդուն հատկացվող աշխատանքային մակերեսը </w:t>
      </w:r>
      <w:r w:rsidR="00BF738A">
        <w:rPr>
          <w:rFonts w:ascii="Sylfaen" w:hAnsi="Sylfaen" w:cs="Arial"/>
          <w:sz w:val="24"/>
          <w:szCs w:val="24"/>
          <w:lang w:val="hy-AM"/>
        </w:rPr>
        <w:t>պետք է լինի ոչ պակաս, քան 6 մ², իսկ ծավալը՝ ոչ պակաս,քան 20մ³։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ներքին հարդարման համար օգտագործվում են դիֆուզանդրադարձման գործակիցներով՝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առաստաղ` 0</w:t>
      </w:r>
      <w:r>
        <w:rPr>
          <w:rFonts w:ascii="Sylfaen" w:hAnsi="Sylfaen" w:cs="Arial"/>
          <w:sz w:val="24"/>
          <w:szCs w:val="24"/>
        </w:rPr>
        <w:t>.7-0.8,</w:t>
      </w:r>
      <w:r>
        <w:rPr>
          <w:rFonts w:ascii="Sylfaen" w:hAnsi="Sylfaen" w:cs="Arial"/>
          <w:sz w:val="24"/>
          <w:szCs w:val="24"/>
          <w:lang w:val="hy-AM"/>
        </w:rPr>
        <w:t xml:space="preserve"> պատեր՝  </w:t>
      </w:r>
      <w:r>
        <w:rPr>
          <w:rFonts w:ascii="Sylfaen" w:hAnsi="Sylfaen" w:cs="Arial"/>
          <w:sz w:val="24"/>
          <w:szCs w:val="24"/>
        </w:rPr>
        <w:t xml:space="preserve">0.5-0.6, </w:t>
      </w:r>
      <w:r>
        <w:rPr>
          <w:rFonts w:ascii="Sylfaen" w:hAnsi="Sylfaen" w:cs="Arial"/>
          <w:sz w:val="24"/>
          <w:szCs w:val="24"/>
          <w:lang w:val="hy-AM"/>
        </w:rPr>
        <w:t xml:space="preserve">հատակ՝ </w:t>
      </w:r>
      <w:r>
        <w:rPr>
          <w:rFonts w:ascii="Sylfaen" w:hAnsi="Sylfaen" w:cs="Arial"/>
          <w:sz w:val="24"/>
          <w:szCs w:val="24"/>
        </w:rPr>
        <w:t>0.3-0.5: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հատակը պետք է լինի հարթ, չսահող, հարմար խոնավ մաքրման համար, ունենա անտիստատիկ հատկություններ։</w:t>
      </w:r>
    </w:p>
    <w:p w:rsidR="00BF738A" w:rsidRDefault="00BF738A" w:rsidP="00BF738A">
      <w:pPr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BF738A" w:rsidRPr="00BF738A" w:rsidRDefault="00BF738A" w:rsidP="00593B11">
      <w:pPr>
        <w:rPr>
          <w:rFonts w:ascii="Sylfaen" w:hAnsi="Sylfaen" w:cs="Arial"/>
          <w:sz w:val="28"/>
          <w:szCs w:val="28"/>
          <w:lang w:val="hy-AM"/>
        </w:rPr>
      </w:pPr>
      <w:r w:rsidRPr="00BF738A">
        <w:rPr>
          <w:rFonts w:ascii="Sylfaen" w:hAnsi="Sylfaen" w:cs="Arial"/>
          <w:sz w:val="28"/>
          <w:szCs w:val="28"/>
          <w:lang w:val="hy-AM"/>
        </w:rPr>
        <w:lastRenderedPageBreak/>
        <w:t>Հաշվիչ կենտրոնի աշխատասենյակի լուսավորվածության նշանակությունը աշխատանքի անվտանգության պահպանման հարցում</w:t>
      </w:r>
    </w:p>
    <w:p w:rsidR="00BF738A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593B11">
        <w:rPr>
          <w:rFonts w:ascii="Sylfaen" w:hAnsi="Sylfaen" w:cs="Arial"/>
          <w:sz w:val="24"/>
          <w:szCs w:val="24"/>
          <w:lang w:val="hy-AM"/>
        </w:rPr>
        <w:t>Հաշվիչ կենտրոնի աշխատասենյակի լուսավորվածության</w:t>
      </w:r>
      <w:r>
        <w:rPr>
          <w:rFonts w:ascii="Sylfaen" w:hAnsi="Sylfaen" w:cs="Arial"/>
          <w:sz w:val="24"/>
          <w:szCs w:val="24"/>
          <w:lang w:val="hy-AM"/>
        </w:rPr>
        <w:t xml:space="preserve"> անթերի կազմակերպման աշխատանքային բարենպաստ պայմանների ստեղծման կարևոր գործոններից է։</w:t>
      </w:r>
    </w:p>
    <w:p w:rsidR="00593B11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Թույլ լուսավորվածությունը ստիպում է մարդուն լարել տեսողությունը, ինչն առաջ է բերում ընդհանուր և,մասնավորապես,տեսողական օրգանների հոգնածություն։ Որքան թույլ է լուսավորվածությունը, այնքան ավելի փոքր է աչքի տեսողական սրությունը, ավելի մանր առարկաներ տարբերելու ունակությունը։ Թույլ լուսավորվածությունը նվազեցնում է նաև տեսողությամբ ընկալելու արագությունը և աչքի կենտրոնային զգացողությունը։</w:t>
      </w:r>
    </w:p>
    <w:p w:rsidR="00593B11" w:rsidRPr="007B094E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>Աչքն ընդունակ է հարմարվելու</w:t>
      </w:r>
      <w:r w:rsidR="007B094E">
        <w:rPr>
          <w:rFonts w:ascii="Sylfaen" w:hAnsi="Sylfaen" w:cs="Arial"/>
          <w:sz w:val="24"/>
          <w:szCs w:val="24"/>
          <w:lang w:val="hy-AM"/>
        </w:rPr>
        <w:t xml:space="preserve"> տվյալ </w:t>
      </w:r>
    </w:p>
    <w:sectPr w:rsidR="00593B11" w:rsidRPr="007B094E" w:rsidSect="00971031">
      <w:pgSz w:w="12240" w:h="15840"/>
      <w:pgMar w:top="1138" w:right="850" w:bottom="1138" w:left="16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ECC"/>
    <w:rsid w:val="004860D1"/>
    <w:rsid w:val="00593B11"/>
    <w:rsid w:val="007B094E"/>
    <w:rsid w:val="007C6B13"/>
    <w:rsid w:val="00971031"/>
    <w:rsid w:val="00BF738A"/>
    <w:rsid w:val="00E257A6"/>
    <w:rsid w:val="00E75ECC"/>
    <w:rsid w:val="00E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6F9E31-1195-43CD-9F53-6683698A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2</cp:revision>
  <dcterms:created xsi:type="dcterms:W3CDTF">2017-04-23T07:57:00Z</dcterms:created>
  <dcterms:modified xsi:type="dcterms:W3CDTF">2017-04-23T07:57:00Z</dcterms:modified>
</cp:coreProperties>
</file>