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Validation and IIT Delhi collaboration plan</w:t>
      </w:r>
    </w:p>
    <w:p>
      <w:pPr>
        <w:pStyle w:val="Subtitle"/>
      </w:pPr>
      <w:r>
        <w:t>Crystal Paradigm   Experiments facilities and decisions for a research partnership</w:t>
      </w:r>
    </w:p>
    <w:p>
      <w:pPr/>
      <w:r>
        <w:t>The collaboration request should be a staged de risking program. Our software supplies traceable candidate proposals and a model whose assumptions are explicit. We need complementary thermodynamics, manufacturing, characterization and application expertise. No faculty member, instrument booking or sponsor pilot is currently confirmed by this documentation.</w:t>
      </w:r>
    </w:p>
    <w:p>
      <w:pPr>
        <w:pStyle w:val="Heading1"/>
      </w:pPr>
      <w:r>
        <w:t>Decide what a successful proof of concept means</w:t>
      </w:r>
    </w:p>
    <w:p>
      <w:pPr/>
      <w:r>
        <w:t>Choose one primary application and one incumbent baseline before testing. Agree the service environment, failure mechanism, specimen geometry, process route and acceptance criteria. Aerospace remains a long term research motivation; a forging tool surface coupon is a separate nearer term discovery hypothesis that still needs contact and wear requirements.</w:t>
      </w:r>
    </w:p>
    <w:p>
      <w:pPr/>
      <w:r>
        <w:t>A useful initial study compares an incumbent, a sharp or ungraded control and a graded proposal under the same protocol. Use independently manufactured replicates; three per condition is an initial screening proposal, not a qualification sample size. Let variability and the application's reliability need determine the final design. Multiple readings from one specimen are not independent manufacture repeats.</w:t>
      </w:r>
    </w:p>
    <w:p>
      <w:pPr>
        <w:pStyle w:val="Heading1"/>
      </w:pPr>
      <w:r>
        <w:t>Experiments arranged by question</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Question</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Evidence and interpretation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What did we make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Actual chemistry, density, porosity, dimensions and process history</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Which phases exist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XRD with suitable analysis plus microscopy; repeat after thermal exposure</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Are elements distributed as designed</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SEM EDS cross sections; account for sampling and analytical limits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Are thermal assumptions reasonable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CTE, conductivity or diffusivity with heat capacity and density, and modulus over relevant temperatures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Does the environment damage it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Controlled oxidation or corrosion history with area, atmosphere, mass change and scale examination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Is the bond durable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Route appropriate adhesion or fracture assessment, crack and reaction layer analysis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Does it support the intended load</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Relevant compression and separate tensile or toughness evidence; creep and fatigue where needed</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Does the application benefit</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Controlled cycling, wear or contact tests against the incumbent at equal part quality</w:t>
            </w:r>
          </w:p>
        </w:tc>
      </w:tr>
    </w:tbl>
    <w:p>
      <w:pPr>
        <w:spacing w:after="20" w:before="0" w:line="120" w:lineRule="auto"/>
      </w:pPr>
      <w:r>
        <w:rPr>
          <w:sz w:val="4"/>
        </w:rPr>
      </w:r>
    </w:p>
    <w:p>
      <w:pPr/>
      <w:r>
        <w:t>XRD means X ray diffraction; SEM means scanning electron microscopy; EDS means energy dispersive X ray spectroscopy. DSC is differential scanning calorimetry and TGA is thermogravimetric analysis. CTE is the coefficient of thermal expansion.</w:t>
      </w:r>
    </w:p>
    <w:p>
      <w:pPr/>
      <w:r>
        <w:t>XRD identifies crystalline phase information within detection and analysis limits; it does not prove a perfect absence of a phase at every length scale. SEM provides morphology and defect information; EDS gives elemental distributions, not a complete crystallographic or bonding explanation. TGA tracks mass change under a controlled temperature and atmosphere history; it is not an automated coating life or safety factor certificate.</w:t>
      </w:r>
    </w:p>
    <w:p>
      <w:pPr>
        <w:pStyle w:val="Heading1"/>
      </w:pPr>
      <w:r>
        <w:t>Feasible IIT Delhi discussions</w:t>
      </w:r>
    </w:p>
    <w:tbl>
      <w:tblPr>
        <w:tblW w:type="auto" w:w="0"/>
        <w:jc w:val="center"/>
        <w:tblLayout w:type="fixed"/>
        <w:tblLook w:firstColumn="1" w:firstRow="1" w:lastColumn="0" w:lastRow="0" w:noHBand="0" w:noVBand="1" w:val="04A0"/>
      </w:tblPr>
      <w:tblGrid>
        <w:gridCol w:w="3528"/>
        <w:gridCol w:w="3276"/>
        <w:gridCol w:w="3276"/>
      </w:tblGrid>
      <w:tr>
        <w:trPr>
          <w:cantSplit/>
          <w:tblHeader/>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Publicly listed resource</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Proposed use</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What must be confirmed</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Central Research Facility</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External user route and coordinated feasibility inquiry</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Eligibility, booking, cost, sample acceptance and lead time</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X ray diffraction listing</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Before and after exposure phase study</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Instrument configuration, bulk or powder preparation and temperature capability</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SEM EDS listing</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Gradient chemistry, reaction layers, cracks and porosity</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Sample size, mounting, polishing, imaging and analysis plan</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Thermal Series SDT650 listing</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DSC TGA measurement discussion</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Actual temperature window, atmosphere, balance limits and specimen compatibility</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Additive manufacturing and characterization shared facility</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Preparation, process feasibility and microscopy discussion</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Actual route and equipment; target compatible DED or LENS is not established</w:t>
            </w:r>
          </w:p>
        </w:tc>
      </w:tr>
      <w:tr>
        <w:trPr>
          <w:cantSplit/>
        </w:trPr>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Materials Science and Engineering department</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Thermodynamics, metals ceramics and computational materials expertise</w:t>
            </w:r>
          </w:p>
        </w:tc>
        <w:tc>
          <w:tcPr>
            <w:tcW w:type="dxa" w:w="32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Named faculty interest, supervision scope and capacity</w:t>
            </w:r>
          </w:p>
        </w:tc>
      </w:tr>
    </w:tbl>
    <w:p>
      <w:pPr>
        <w:spacing w:after="20" w:before="0" w:line="120" w:lineRule="auto"/>
      </w:pPr>
      <w:r>
        <w:rPr>
          <w:sz w:val="4"/>
        </w:rPr>
      </w:r>
    </w:p>
    <w:p>
      <w:pPr/>
      <w:r>
        <w:t>Sources S8 to S13 are discovery references. [S8 S9 S10 S11 S12 S13] Some CRF detail pages returned server errors during live retrieval, although official indexed listings were available. We therefore make no current availability, exact temperature limit or guaranteed machine access claim. Published CRF charges are a starting point for inquiry, not a substitute for specimen specific quotations, tax and full preparation costs. [S14]</w:t>
      </w:r>
    </w:p>
    <w:p>
      <w:pPr>
        <w:pStyle w:val="Heading1"/>
      </w:pPr>
      <w:r>
        <w:t>Responsibilities and deliverables</w:t>
      </w:r>
    </w:p>
    <w:p>
      <w:pPr/>
      <w:r>
        <w:t>Crystal Paradigm should own the computational run records, documented requirements, candidate list, test data schema and comparison report. A materials lead should own chemistry and phase plausibility with a thermodynamics specialist where needed. A process partner should own safe fabrication feasibility and recorded process control. A characterization partner should own methods, uncertainties and raw data. Sona engineers would ideally define a use case, incumbent and industrial acceptance criteria if they choose to participate.</w:t>
      </w:r>
    </w:p>
    <w:p>
      <w:pPr/>
      <w:r>
        <w:t>These are proposed roles, not current commitments. Before asserting execution readiness, assign named people, confirm their time and obtain facility or partner letters. Separate team biographies supplied in earlier documents from verified employment, participation and capability for this particular work.</w:t>
      </w:r>
    </w:p>
    <w:p>
      <w:pPr>
        <w:pStyle w:val="Heading1"/>
      </w:pPr>
      <w:r>
        <w:t>Decision gates over twenty four months</w:t>
      </w:r>
    </w:p>
    <w:p>
      <w:pPr/>
      <w:r>
        <w:t>Gate one is a reviewed application and experimental plan with resolved data and process risks. Gate two is a reproducible coupon process with verified chemistry and phase information, or a documented pivot if manufacture is not viable. Gate three is a comparison of environmental, thermal and mechanical behavior against a baseline. Gate four is a prospective feedback iteration and application feasibility decision with an auditable data package.</w:t>
      </w:r>
    </w:p>
    <w:p>
      <w:pPr/>
      <w:r>
        <w:t>A gate can fail. Agree what result triggers a change of alloy, ceramic, route or application. Avoid milestones such as confirm the already achieved safety factor, which assume the desired conclusion. Budget should fund decisions and evidence, not a guaranteed positive number.</w:t>
      </w:r>
    </w:p>
    <w:p>
      <w:pPr>
        <w:pStyle w:val="Heading1"/>
      </w:pPr>
      <w:r>
        <w:t>How model validation differs from verification</w:t>
      </w:r>
    </w:p>
    <w:p>
      <w:pPr/>
      <w:r>
        <w:t>Verification asks whether the code solves its stated equations consistently; our analytical and conservation checks address this. Validation asks whether those equations and properties reproduce relevant observations. Calibration estimates parameters from selected data. Independent validation tests predictions without fitting to those outcomes. Qualification is a further application specific process; it is not automatically earned by a coupon score or a TRL label.</w:t>
      </w:r>
    </w:p>
    <w:p>
      <w:pPr/>
      <w:r>
        <w:t>A larger finite element mesh, more cloud compute or an atomistic technique name cannot replace missing material state and constitutive data. Start with measured constants and an identifiable experiment. Progress to substrate, bond, transient, creep and fracture models as the evidence justifies them.</w:t>
      </w:r>
    </w:p>
    <w:p>
      <w:pPr>
        <w:pStyle w:val="Heading1"/>
      </w:pPr>
      <w:r>
        <w:t>Concrete collaboration request</w:t>
      </w:r>
    </w:p>
    <w:p>
      <w:pPr/>
      <w:r>
        <w:t>Request a joint feasibility scoping session, review of the composition and graded architecture, access routes and quotes for a small controlled coupon study, and guidance on an assessed thermodynamic database. Ask Sona Comstar for a specific tooling failure mode and baseline rather than assuming an SRM motor application. Define data ownership, confidentiality, publication review and invention reporting before generating joint results. The next patent preparation phase should assess those terms and the public disclosure timeline.</w:t>
      </w:r>
    </w:p>
    <w:p>
      <w:pPr>
        <w:pStyle w:val="Heading1"/>
      </w:pPr>
      <w:r>
        <w:t>Sources and evidence</w:t>
      </w:r>
    </w:p>
    <w:p>
      <w:pPr>
        <w:spacing w:after="80"/>
      </w:pPr>
      <w:r>
        <w:rPr>
          <w:b/>
          <w:sz w:val="19"/>
        </w:rPr>
        <w:t xml:space="preserve">[S8] IIT Delhi Central Research Facility. </w:t>
      </w:r>
      <w:r>
        <w:rPr>
          <w:sz w:val="19"/>
        </w:rPr>
        <w:t>https://crf.iitd.ac.in/</w:t>
      </w:r>
    </w:p>
    <w:p>
      <w:pPr>
        <w:spacing w:after="80"/>
      </w:pPr>
      <w:r>
        <w:rPr>
          <w:b/>
          <w:sz w:val="19"/>
        </w:rPr>
        <w:t xml:space="preserve">[S9] IIT Delhi CRF X Ray Diffraction listing. </w:t>
      </w:r>
      <w:r>
        <w:rPr>
          <w:sz w:val="19"/>
        </w:rPr>
        <w:t>https://crf.iitd.ac.in/All-Facilities-/X-Ray-Diffraction.html</w:t>
      </w:r>
    </w:p>
    <w:p>
      <w:pPr>
        <w:spacing w:after="80"/>
      </w:pPr>
      <w:r>
        <w:rPr>
          <w:b/>
          <w:sz w:val="19"/>
        </w:rPr>
        <w:t xml:space="preserve">[S10] IIT Delhi CRF SEM EDS DMSE listing. </w:t>
      </w:r>
      <w:r>
        <w:rPr>
          <w:sz w:val="19"/>
        </w:rPr>
        <w:t>https://crf.iitd.ac.in/All-Facilities-/SEM_DMSE.html</w:t>
      </w:r>
    </w:p>
    <w:p>
      <w:pPr>
        <w:spacing w:after="80"/>
      </w:pPr>
      <w:r>
        <w:rPr>
          <w:b/>
          <w:sz w:val="19"/>
        </w:rPr>
        <w:t xml:space="preserve">[S11] IIT Delhi CRF Thermal Series listing. </w:t>
      </w:r>
      <w:r>
        <w:rPr>
          <w:sz w:val="19"/>
        </w:rPr>
        <w:t>https://crf.iitd.ac.in/All-Facilities-/Thermal-Series.html</w:t>
      </w:r>
    </w:p>
    <w:p>
      <w:pPr>
        <w:spacing w:after="80"/>
      </w:pPr>
      <w:r>
        <w:rPr>
          <w:b/>
          <w:sz w:val="19"/>
        </w:rPr>
        <w:t xml:space="preserve">[S12] IIT Delhi Additive Manufacturing and Characterization Shared Facility listing. </w:t>
      </w:r>
      <w:r>
        <w:rPr>
          <w:sz w:val="19"/>
        </w:rPr>
        <w:t>https://crf.iitd.ac.in/All-Facilities-/AMCF_Shared_Facility.html</w:t>
      </w:r>
    </w:p>
    <w:p>
      <w:pPr>
        <w:spacing w:after="80"/>
      </w:pPr>
      <w:r>
        <w:rPr>
          <w:b/>
          <w:sz w:val="19"/>
        </w:rPr>
        <w:t xml:space="preserve">[S13] IIT Delhi Department of Materials Science and Engineering. </w:t>
      </w:r>
      <w:r>
        <w:rPr>
          <w:sz w:val="19"/>
        </w:rPr>
        <w:t>https://mse.iitd.ac.in/</w:t>
      </w:r>
    </w:p>
    <w:p>
      <w:pPr>
        <w:spacing w:after="80"/>
      </w:pPr>
      <w:r>
        <w:rPr>
          <w:b/>
          <w:sz w:val="19"/>
        </w:rPr>
        <w:t xml:space="preserve">[S14] IIT Delhi CRF charge list. </w:t>
      </w:r>
      <w:r>
        <w:rPr>
          <w:sz w:val="19"/>
        </w:rPr>
        <w:t>https://crf.iitd.ac.in/files/CRF_Charges_List.pdf</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and IIT Delhi collaboration plan</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