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case budget and delivery milestones</w:t>
      </w:r>
    </w:p>
    <w:p>
      <w:pPr>
        <w:pStyle w:val="Subtitle"/>
      </w:pPr>
      <w:r>
        <w:t>Crystal Paradigm   A techno commercial proposal for SCIDIP preparation</w:t>
      </w:r>
    </w:p>
    <w:p>
      <w:pPr/>
      <w:r>
        <w:t>Our commercial hypothesis is that a traceable materials selection and validation service can reduce the cost and uncertainty of a defined development decision. We do not yet have measured discovery acceleration, a confirmed paying customer for HE MCGA, a validated industrial material or proven licensing revenue. The proposed INR 65 lakh program should fund that de risking, not assume it has already happened.</w:t>
      </w:r>
    </w:p>
    <w:p>
      <w:pPr>
        <w:pStyle w:val="Heading1"/>
      </w:pPr>
      <w:r>
        <w:t>Customer problem and first offer</w:t>
      </w:r>
    </w:p>
    <w:p>
      <w:pPr/>
      <w:r>
        <w:t>Sona Comstar publicly describes precision warm and hot forged driveline products. A potential discussion is a surface or coupon study related to forging tool durability. That is our inference from its manufacturing activities, not a known internal die life problem or agreed collaboration. [S2]</w:t>
      </w:r>
    </w:p>
    <w:p>
      <w:pPr/>
      <w:r>
        <w:t>First confirm the dominant failure mode and incumbent treatment. Thermal checking, abrasive wear, plastic collapse and adhesion failure can require different materials. The current screen has no contact pressure, friction or wear model and does not include a real tool steel substrate. A ceramic rich thermal barrier might be unsuitable for a wear surface. The pilot must be able to reject this architecture.</w:t>
      </w:r>
    </w:p>
    <w:p>
      <w:pPr/>
      <w:r>
        <w:t>The first commercial deliverable should be a bounded feasibility study: requirement sheet, baseline, candidate rationale, manufacturability review, coupon data and go or no go report. A platform subscription or composition license is a later hypothesis if repeatable validated delivery and appropriate IP or data rights support it. Do not describe company scale, market size, customer conversion or prices as measured without evidence.</w:t>
      </w:r>
    </w:p>
    <w:p>
      <w:pPr>
        <w:pStyle w:val="Heading1"/>
      </w:pPr>
      <w:r>
        <w:t>Explicit economic scenario</w:t>
      </w:r>
    </w:p>
    <w:p>
      <w:pPr/>
      <w:r>
        <w:t>The existing tool consumption calculator uses annual parts divided by life per tool, multiplied by tool cost. With one million parts per year, baseline life 50000 parts and cost INR 100000 per tool, annual modeled tooling cost is INR 20 lakh. Assuming life 65000 parts and cost INR 115000 gives about INR 17.69 lakh. A hypothetical INR 5 lakh pilot then has simple payback of about 2.17 years on the INR 2.31 lakh annual difference.</w:t>
      </w:r>
    </w:p>
    <w:p>
      <w:pPr/>
      <w:r>
        <w:t>Every input is a scenario assumption, not a quotation or predicted life improvement. A 15 percent tool price premium requires more than 15 percent life improvement merely to lower this modeled tool expense. Downtime, scrap, quality, maintenance, qualification, tax and financing are excluded. If savings are nonpositive, the calculator returns no positive payback. The key future metric is cost per accepted part at equivalent performance.</w:t>
      </w:r>
    </w:p>
    <w:p>
      <w:pPr>
        <w:pStyle w:val="Heading1"/>
      </w:pPr>
      <w:r>
        <w:t>Budget request and program limits</w:t>
      </w:r>
    </w:p>
    <w:p>
      <w:pPr/>
      <w:r>
        <w:t>We retain the earlier total request of INR 65 lakh but revise its technical justification. Amounts below are planning envelopes requiring quotations and FITT approval. Program limits cited on the SCIDIP page include a 24 month term, support up to INR 80 lakh, equipment at most 25 percent, staffing at most 30 percent with INR 50000 monthly individual salary ceiling, outsourcing at most 30 percent, contingency at most 7.5 percent and patent filing at most INR 3 lakh. [S1]</w:t>
      </w:r>
    </w:p>
    <w:tbl>
      <w:tblPr>
        <w:tblW w:type="auto" w:w="0"/>
        <w:jc w:val="center"/>
        <w:tblLayout w:type="fixed"/>
        <w:tblLook w:firstColumn="1" w:firstRow="1" w:lastColumn="0" w:lastRow="0" w:noHBand="0" w:noVBand="1" w:val="04A0"/>
      </w:tblPr>
      <w:tblGrid>
        <w:gridCol w:w="5184"/>
        <w:gridCol w:w="2160"/>
        <w:gridCol w:w="2736"/>
      </w:tblGrid>
      <w:tr>
        <w:trPr>
          <w:cantSplit/>
          <w:tblHeader/>
        </w:trPr>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Head</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INR lakh</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Percent of total</w:t>
            </w:r>
          </w:p>
        </w:tc>
      </w:tr>
      <w:tr>
        <w:trPr>
          <w:cantSplit/>
        </w:trPr>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Equipment</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8.00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12.31</w:t>
            </w:r>
          </w:p>
        </w:tc>
      </w:tr>
      <w:tr>
        <w:trPr>
          <w:cantSplit/>
        </w:trPr>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Staffing</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17.00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26.15</w:t>
            </w:r>
          </w:p>
        </w:tc>
      </w:tr>
      <w:tr>
        <w:trPr>
          <w:cantSplit/>
        </w:trPr>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Consumables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14.00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21.54</w:t>
            </w:r>
          </w:p>
        </w:tc>
      </w:tr>
      <w:tr>
        <w:trPr>
          <w:cantSplit/>
        </w:trPr>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Outsourcing</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19.00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29.23</w:t>
            </w:r>
          </w:p>
        </w:tc>
      </w:tr>
      <w:tr>
        <w:trPr>
          <w:cantSplit/>
        </w:trPr>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Patent support</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3.00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4.62</w:t>
            </w:r>
          </w:p>
        </w:tc>
      </w:tr>
      <w:tr>
        <w:trPr>
          <w:cantSplit/>
        </w:trPr>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Contingency</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4.00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6.15</w:t>
            </w:r>
          </w:p>
        </w:tc>
      </w:tr>
      <w:tr>
        <w:trPr>
          <w:cantSplit/>
        </w:trPr>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Total</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65.00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100.00</w:t>
            </w:r>
          </w:p>
        </w:tc>
      </w:tr>
    </w:tbl>
    <w:p>
      <w:pPr>
        <w:spacing w:after="20" w:before="0" w:line="120" w:lineRule="auto"/>
      </w:pPr>
      <w:r>
        <w:rPr>
          <w:sz w:val="4"/>
        </w:rPr>
      </w:r>
    </w:p>
    <w:p>
      <w:pPr/>
      <w:r>
        <w:t>Equipment should be bought only after checking facility availability and whether outsourcing is more efficient. The earlier assertion that required inert handling or LENS equipment is absent or uniquely available at one institution is not established. Avoid purchasing an entire process chain before a feasibility review.</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Head</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Revised planning basis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Equipment INR 8 lakh</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Up to INR 5 lakh for justified handling or specimen preparation capability and INR 3 lakh for appropriate temperature measurement and acquisition; scope subject to host capability and quotes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Staffing INR 17 lakh</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Materials associate INR 40000 per month for 20 months and computational engineer INR 45000 per month for 20 months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Consumables INR 14 lakh</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Metal and ceramic feedstock, controls, process gases, preparation and test consumables; final alloy and quantities follow feasibility</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Outsourcing INR 19 lakh</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Manufacture and rework 6; thermal and environmental tests 3.5; phase study 2; microscopy and chemistry 2.5; mechanical or contact tests 3; compute or specialist review 2</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Patent work INR 3 lakh</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Professional assessment and eligible filing support after evidence and disclosure review; no promise that multiple filings fit this envelope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Contingency INR 4 lakh</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Justified program related travel and incidental execution costs within the applicable rules</w:t>
            </w:r>
          </w:p>
        </w:tc>
      </w:tr>
    </w:tbl>
    <w:p>
      <w:pPr>
        <w:spacing w:after="20" w:before="0" w:line="120" w:lineRule="auto"/>
      </w:pPr>
      <w:r>
        <w:rPr>
          <w:sz w:val="4"/>
        </w:rPr>
      </w:r>
    </w:p>
    <w:p>
      <w:pPr/>
      <w:r>
        <w:t>The staffing example places the computational role in months 1 to 20 and the materials role in months 5 to 24. It funds 40 person months across the 24 month program. Named hires, qualifications, founder contributions, employment arrangements and availability require confirmation. The budget does not establish that the present team has committed this work.</w:t>
      </w:r>
    </w:p>
    <w:p>
      <w:pPr>
        <w:pStyle w:val="Heading1"/>
      </w:pPr>
      <w:r>
        <w:t>Milestones expenditure and acceptance</w:t>
      </w:r>
    </w:p>
    <w:tbl>
      <w:tblPr>
        <w:tblW w:type="auto" w:w="0"/>
        <w:jc w:val="center"/>
        <w:tblLayout w:type="fixed"/>
        <w:tblLook w:firstColumn="1" w:firstRow="1" w:lastColumn="0" w:lastRow="0" w:noHBand="0" w:noVBand="1" w:val="04A0"/>
      </w:tblPr>
      <w:tblGrid>
        <w:gridCol w:w="1872"/>
        <w:gridCol w:w="6768"/>
        <w:gridCol w:w="1440"/>
      </w:tblGrid>
      <w:tr>
        <w:trPr>
          <w:cantSplit/>
          <w:tblHeader/>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Gate and months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Evidence to deliver</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INR lakh</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1 Months 1 to 4</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Agreed use case, benchmark, process and thermodynamic feasibility, test protocol</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10.80</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2 Months 5 to 10</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Repeatable coupons and actual chemistry phase and defect records, or justified pivot</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19.10</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3 Months 11 to 18</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Measured thermal environmental and relevant mechanical comparison with controls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21.30</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4 Months 19 to 24</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Prospective feedback iteration, application and economic go or no go, data handover</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13.80</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Total</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Planned expenditure, not approved release tranches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65.00</w:t>
            </w:r>
          </w:p>
        </w:tc>
      </w:tr>
    </w:tbl>
    <w:p>
      <w:pPr>
        <w:spacing w:after="20" w:before="0" w:line="120" w:lineRule="auto"/>
      </w:pPr>
      <w:r>
        <w:rPr>
          <w:sz w:val="4"/>
        </w:rPr>
      </w:r>
    </w:p>
    <w:p>
      <w:pPr/>
      <w:r>
        <w:t>Milestone one reviews requirements, benchmark, thermodynamic and process feasibility and an experimental protocol. Milestone two demonstrates a repeatable coupon route with verified chemistry, phase and defect records, or triggers a justified pivot. Milestone three evaluates thermal, environmental and relevant mechanical behavior against controls. Milestone four demonstrates one prospective measured feedback iteration and an application go or no go decision with cost evidence.</w:t>
      </w:r>
    </w:p>
    <w:p>
      <w:pPr/>
      <w:r>
        <w:t>Numerical acceptance limits must be agreed before tests with the application owner and lab. Do not promise confirm safety factor 1.71, zero sigma phase or zero spallation as already established premises. The proposed gates should reveal whether the technology works, including negative decisions.</w:t>
      </w:r>
    </w:p>
    <w:p>
      <w:pPr/>
      <w:r>
        <w:t>The phase expenditure allocations sum to INR 65 lakh and reconcile by budget head. They are not approved grant tranches. The website's approximate release percentages total 95 percent, while earlier proposal and guideline versions differ. Seek a written installment and reimbursement schedule from FITT rather than inventing a 100 percent official sequence. [S1]</w:t>
      </w:r>
    </w:p>
    <w:p>
      <w:pPr>
        <w:pStyle w:val="Heading1"/>
      </w:pPr>
      <w:r>
        <w:t>Team and execution evidence</w:t>
      </w:r>
    </w:p>
    <w:p>
      <w:pPr/>
      <w:r>
        <w:t>Assign one accountable technical lead, a materials and manufacturing owner, a computational owner and a finance and customer owner. Individuals may cover multiple roles if their capacity is credible. The earlier named biographies and credentials are supplied claims; verify current affiliations, consent, time allocation and this project's relevant capability before presenting them as committed execution resources.</w:t>
      </w:r>
    </w:p>
    <w:p>
      <w:pPr/>
      <w:r>
        <w:t>The program page includes leader qualification and startup eligibility conditions. Confirm postgraduate technical qualification, company registration and ownership, incorporation age, cash inflow history and full time obligations against the applicable documents. These are diligence items, not verified facts supplied by this pack. [S1]</w:t>
      </w:r>
    </w:p>
    <w:p>
      <w:pPr>
        <w:pStyle w:val="Heading1"/>
      </w:pPr>
      <w:r>
        <w:t>What the panel needs to believe</w:t>
      </w:r>
    </w:p>
    <w:p>
      <w:pPr/>
      <w:r>
        <w:t>The technical case needs an honest problem, executable method and evidence generating plan. Entrepreneurial intent needs a defined customer decision, ownership of execution and willingness to pivot. IP needs a plausible protectable contribution and accurate status. Team needs named capability and access. Business needs feasible milestones, quotations, cash planning and a credible route to value. These are the program's stated evaluation dimensions, not a claim that a favorable score is guaranteed. [S1]</w:t>
      </w:r>
    </w:p>
    <w:p>
      <w:pPr/>
      <w:r>
        <w:t>Carry a finance presenter who can reconcile every number, explain assumptions and distinguish grant expenditure from future revenue. Keep quotations, eligibility documents, partner letters and data ownership terms available as supporting evidence rather than burying unsupported assertions in technical slides.</w:t>
      </w:r>
    </w:p>
    <w:p>
      <w:pPr>
        <w:pStyle w:val="Heading1"/>
      </w:pPr>
      <w:r>
        <w:t>Sources and evidence</w:t>
      </w:r>
    </w:p>
    <w:p>
      <w:pPr>
        <w:spacing w:after="80"/>
      </w:pPr>
      <w:r>
        <w:rPr>
          <w:b/>
          <w:sz w:val="19"/>
        </w:rPr>
        <w:t xml:space="preserve">[S1] FITT SCIDIP program page. </w:t>
      </w:r>
      <w:r>
        <w:rPr>
          <w:sz w:val="19"/>
        </w:rPr>
        <w:t>https://fitt-iitd.in/web/sona-comstar-iit-delhi-innovation-program-scidip</w:t>
      </w:r>
    </w:p>
    <w:p>
      <w:pPr>
        <w:spacing w:after="80"/>
      </w:pPr>
      <w:r>
        <w:rPr>
          <w:b/>
          <w:sz w:val="19"/>
        </w:rPr>
        <w:t xml:space="preserve">[S2] Sona Comstar Precision Forged Gears. </w:t>
      </w:r>
      <w:r>
        <w:rPr>
          <w:sz w:val="19"/>
        </w:rPr>
        <w:t>https://sonacomstar.com/precision-forged-bevel-gears</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budget and delivery milestones</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