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Founder preparation and program call notes</w:t>
      </w:r>
    </w:p>
    <w:p>
      <w:pPr>
        <w:pStyle w:val="Subtitle"/>
      </w:pPr>
      <w:r>
        <w:t>Crystal Paradigm   Explaining the project and preparing for the offline discussion</w:t>
      </w:r>
    </w:p>
    <w:p>
      <w:pPr/>
      <w:r>
        <w:t>The supplied program manager transcript emphasizes a technical plus financial discussion with IIT Delhi and Sona Comstar representation. It invites deeper technology explanation, milestones, funding and timelines rather than prescribing a slide template. These are verbal guidance notes; the latest written invitation and FITT agreement should resolve logistics and funding terms. [S0]</w:t>
      </w:r>
    </w:p>
    <w:p>
      <w:pPr>
        <w:pStyle w:val="Heading1"/>
      </w:pPr>
      <w:r>
        <w:t>Call interpretation and actions</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Topic</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What the supplied transcript says and the action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Presentation content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Explain technology or prototype, requested support and milestones with cost and time; prepare technical and financial answers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Template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No specific template required; the earlier submitted deck may be expanded for explanation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Panel</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IIT Delhi subject expertise and Sona representatives are expected; be ready for detailed materials questions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Attendance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Three or four members were described as acceptable and no stated cap was given; confirm attendance details in the latest email</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Event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The 23rd is described as the one day event, arriving at 9 am; confirm the written date, venue and reporting instruction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Slot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Time is allocated one startup after another; roughly 15 to 30 minutes was discussed, without a confirmed individual slot</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Q and A</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Discussion can extend; do not book a departure based on an assumed personal finishing time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Funding selection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Further shortlisting and later email are expected; the mentioned two to four awards is not a guaranteed quota</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Portal</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Email shortlisting was described as sufficient despite portal delay; keep the actual invitation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Entry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Showing the invitation email at the gate was described; verify any later instructions and carry normal identification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Finance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Bring someone who can explain project heads, allocations and the 24 month plan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FITT discussion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 VP for incubation may be available on the event day; an investor or VC meeting is not promised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Accommodation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None was offered; arrangements and cost remain the team's responsibility</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Additional day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The 24th was discussed as a Saturday and FITT week off; do not assume staffed laboratory or office access</w:t>
            </w:r>
          </w:p>
        </w:tc>
      </w:tr>
    </w:tbl>
    <w:p>
      <w:pPr>
        <w:spacing w:after="20" w:before="0" w:line="120" w:lineRule="auto"/>
      </w:pPr>
      <w:r>
        <w:rPr>
          <w:sz w:val="4"/>
        </w:rPr>
      </w:r>
    </w:p>
    <w:p>
      <w:pPr/>
      <w:r>
        <w:t>The date context supplied for this preparation is October 2026. The 23rd is Friday and the 24th Saturday. An invitation remains the authority for attendance; the call does not secure laboratory access or guarantee a funding decision.</w:t>
      </w:r>
    </w:p>
    <w:p>
      <w:pPr>
        <w:pStyle w:val="Heading1"/>
      </w:pPr>
      <w:r>
        <w:t>A concise explanation of the project</w:t>
      </w:r>
    </w:p>
    <w:p>
      <w:pPr/>
      <w:r>
        <w:t>We are building a computational screen that chooses refractory alloy chemistry and metal to ceramic gradient geometry for a defined thermal problem. It combines public property data, explicit uncertainty checks and a reduced thermal laminate model. We have corrected the earlier evidence and unit problems, generated traceable candidate hypotheses and implemented real measurement ingestion and retraining. We now seek a scoped collaboration to make and characterize controlled coupons and test whether the approach improves a real development decision.</w:t>
      </w:r>
    </w:p>
    <w:p>
      <w:pPr/>
      <w:r>
        <w:t>Use this explanation as a starting point, not as a memorized substitute for understanding. Name the failure mechanism, what was actually computed and what experiment decides the next step. The method's aim and current evidence are different things.</w:t>
      </w:r>
    </w:p>
    <w:p>
      <w:pPr>
        <w:pStyle w:val="Heading1"/>
      </w:pPr>
      <w:r>
        <w:t>Questions from an AI evaluator</w:t>
      </w:r>
    </w:p>
    <w:p>
      <w:pPr/>
      <w:r>
        <w:t>What is AI here? Two fixed tree ensemble regressors predict calculated bulk modulus and experimental compression yield. Thermal properties are declared estimates; the physics is a separate reduced model. Physics informed describes screening with physical equations and constraints, not a trained physics informed neural network.</w:t>
      </w:r>
    </w:p>
    <w:p>
      <w:pPr/>
      <w:r>
        <w:t>How accurate is it? On the protected composition benchmark, bulk MAE is about 20.4 GPa and compression yield MAE about 229.5 MPa. Yield R squared is about 0.457 and uncertainty is wide. These are limited public data benchmarks, not design allowables or prospective experimental validation.</w:t>
      </w:r>
    </w:p>
    <w:p>
      <w:pPr/>
      <w:r>
        <w:t>Where is the loop closed? The software can propose, validate report backed measurements, retrain eligible groups and propose again. No new physical measurement iteration has been completed. Do not call the current reference runs an autonomous lab demonstration.</w:t>
      </w:r>
    </w:p>
    <w:p>
      <w:pPr>
        <w:pStyle w:val="Heading1"/>
      </w:pPr>
      <w:r>
        <w:t>Questions from a materials scientist</w:t>
      </w:r>
    </w:p>
    <w:p>
      <w:pPr/>
      <w:r>
        <w:t>Why nine elements? They define the current search alphabet, not a proven necessary recipe. Each addition needs a mechanism, manufacturability rationale and evidence; simpler controls and element ablations remain important.</w:t>
      </w:r>
    </w:p>
    <w:p>
      <w:pPr/>
      <w:r>
        <w:t>How do you know the phase is stable? We do not yet. VEC and entropy are descriptors, not a phase certificate. The assessed target database and manufactured XRD and microscopy are missing.</w:t>
      </w:r>
    </w:p>
    <w:p>
      <w:pPr/>
      <w:r>
        <w:t>What about oxidation and Al? No measured oxidation performance is established. Al was outside the model and cannot be appended while retaining old predictions. A new Al study needs data, chemistry consistency and environmental evidence.</w:t>
      </w:r>
    </w:p>
    <w:p>
      <w:pPr/>
      <w:r>
        <w:t>Does grading reduce stress? Under the stated model it reduces the peak relative to an equal volume sharp bilayer, with a much smaller benefit when held flat. Equal volume architectures have equal thermal resistance under the current mixing assumptions. The real coating needs interface, processing and cycling validation.</w:t>
      </w:r>
    </w:p>
    <w:p>
      <w:pPr>
        <w:pStyle w:val="Heading1"/>
      </w:pPr>
      <w:r>
        <w:t>Questions from an aerospace or manufacturing reviewer</w:t>
      </w:r>
    </w:p>
    <w:p>
      <w:pPr/>
      <w:r>
        <w:t>Where is the 3D turbine validation? There is no verified executed 3D component result in the maintained evidence. The model is steady conduction and elastic laminate equilibrium. The old safety factor and cycle claims must not be repeated as achieved results.</w:t>
      </w:r>
    </w:p>
    <w:p>
      <w:pPr/>
      <w:r>
        <w:t>Why eleven layers? It is a chosen way to discretize a continuous gradient. Fractions and geometry are conserved and recalculated; the count is not a proven manufacturing optimum. Feedstock, route, shrinkage and bonding require feasibility work.</w:t>
      </w:r>
    </w:p>
    <w:p>
      <w:pPr/>
      <w:r>
        <w:t>Can it operate at 1400 C? That is not demonstrated. Historical code used 1400 K, or 1126.85 C. The repaired comparison treats 1673.15 K, or 1400 C, separately as an imposed face temperature, not automatically the real hot gas boundary.</w:t>
      </w:r>
    </w:p>
    <w:p>
      <w:pPr>
        <w:pStyle w:val="Heading1"/>
      </w:pPr>
      <w:r>
        <w:t>Questions from industry finance and IP reviewers</w:t>
      </w:r>
    </w:p>
    <w:p>
      <w:pPr/>
      <w:r>
        <w:t>Why Sona? Its precision forging activity gives a specific tooling research conversation. We need an actual failure mode, substrate, contact cycle and baseline before claiming fit. No motor magnetic performance is modeled.</w:t>
      </w:r>
    </w:p>
    <w:p>
      <w:pPr/>
      <w:r>
        <w:t>What does funding buy? A requirement and feasibility review, reproducible coupons, independent characterization and one prospective feedback iteration over staged gates. The INR 65 lakh envelope is an estimate requiring quotations, not an approved release schedule.</w:t>
      </w:r>
    </w:p>
    <w:p>
      <w:pPr/>
      <w:r>
        <w:t>What is patented? Earlier documents assert an application number but the specification, receipt, ownership and mapping to HE MCGA were not supplied in the reviewed evidence. Explain verified status only. A separate battery paper or patent does not validate this alloy.</w:t>
      </w:r>
    </w:p>
    <w:p>
      <w:pPr>
        <w:pStyle w:val="Heading1"/>
      </w:pPr>
      <w:r>
        <w:t>Rehearsal and evidence handoff</w:t>
      </w:r>
    </w:p>
    <w:p>
      <w:pPr/>
      <w:r>
        <w:t>Practice a roughly ten minute explanation, leaving room for the actual allotted discussion: problem and application, materials mechanism, workflow and evidence, key limitations, experimental plan, budget and team, then the specific collaboration ask. This is a rehearsal allocation, not the organizer's final slot. Prepare deeper backup material from these documents rather than placing every equation in the main story.</w:t>
      </w:r>
    </w:p>
    <w:p>
      <w:pPr/>
      <w:r>
        <w:t>Bring the current candidate JSON and recipe, metric and control tables, a source and claim register, budget reconciliation, milestone sheet and questions about facility access. Assign a technical respondent and a finance respondent. Agree who will say we do not yet know and then identify the experiment that resolves it. These documents prepare the next deck phase; no final presentation is generated in this phase.</w:t>
      </w:r>
    </w:p>
    <w:p>
      <w:pPr>
        <w:pStyle w:val="Heading1"/>
      </w:pPr>
      <w:r>
        <w:t>Sources and evidence</w:t>
      </w:r>
    </w:p>
    <w:p>
      <w:pPr>
        <w:spacing w:after="80"/>
      </w:pPr>
      <w:r>
        <w:rPr>
          <w:b/>
          <w:sz w:val="19"/>
        </w:rPr>
        <w:t xml:space="preserve">[S0] Program manager call transcript supplied by Crystal Paradigm. </w:t>
      </w:r>
      <w:r>
        <w:rPr>
          <w:sz w:val="19"/>
        </w:rPr>
        <w:t>User supplied Pasted text 20261021 054847</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 preparation and program call notes</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