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Strict project audit and IP preparation handover</w:t>
      </w:r>
    </w:p>
    <w:p>
      <w:pPr>
        <w:pStyle w:val="Subtitle"/>
      </w:pPr>
      <w:r>
        <w:t>Crystal Paradigm   What was corrected and what can still cause rejection</w:t>
      </w:r>
    </w:p>
    <w:p>
      <w:pPr/>
      <w:r>
        <w:t>The project is now an auditable computational screening system. It is not yet a validated extreme environment material or a demonstrated commercial solution. This second review checks the Phase 1 repairs and corrects remaining operational defects before producing the teaching pack. A serious proposal should expose unresolved risks and show how the next evidence changes a decision.</w:t>
      </w:r>
    </w:p>
    <w:p>
      <w:pPr>
        <w:pStyle w:val="Heading1"/>
      </w:pPr>
      <w:r>
        <w:t>Corrections made in the second review</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Finding</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Repair and verification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An inapplicable strength bound could still improve search score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Only a nonnegative bound passing applicability checks can earn strength reward; regression test added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Thickness was weakly identified by a stress based objective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Add a declared areal mass term and phase density assumption; demonstrate its linear thickness scaling</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An edited ledger could bypass ingestion checks on read</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Revalidate required fields, units, values, target and composition metadata, duplicates and report integrity before retraining</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Static bulk records have no measured temperature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Handle missing source temperatures safely when checking feedback duplicates; real bulk feedback fixture added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Proposed measurements could be rejected later by the benchmark policy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Export benchmark partition, intended feedback role and ledger eligibility in the batch</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Grading benefit lacked a matched architecture control</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Compare against a sharp bilayer with identical phase volumes and thickness under both mechanical constraints</w:t>
            </w:r>
          </w:p>
        </w:tc>
      </w:tr>
    </w:tbl>
    <w:p>
      <w:pPr>
        <w:spacing w:after="20" w:before="0" w:line="120" w:lineRule="auto"/>
      </w:pPr>
      <w:r>
        <w:rPr>
          <w:sz w:val="4"/>
        </w:rPr>
      </w:r>
    </w:p>
    <w:p>
      <w:pPr/>
      <w:r>
        <w:t>The combined suite now has 37 passing checks with no skips. Models retain the same data and hyperparameters; repeated benchmark scores are not a new independent experiment. Phase 2 stores new searches and controls without overwriting Phase 1 results. Source data and the previously submitted Office documents remain unchanged.</w:t>
      </w:r>
    </w:p>
    <w:p>
      <w:pPr>
        <w:pStyle w:val="Heading1"/>
      </w:pPr>
      <w:r>
        <w:t>Strict assessment by perspective</w:t>
      </w:r>
    </w:p>
    <w:tbl>
      <w:tblPr>
        <w:tblW w:type="auto" w:w="0"/>
        <w:jc w:val="center"/>
        <w:tblLayout w:type="fixed"/>
        <w:tblLook w:firstColumn="1" w:firstRow="1" w:lastColumn="0" w:lastRow="0" w:noHBand="0" w:noVBand="1" w:val="04A0"/>
      </w:tblPr>
      <w:tblGrid>
        <w:gridCol w:w="3528"/>
        <w:gridCol w:w="3276"/>
        <w:gridCol w:w="3276"/>
      </w:tblGrid>
      <w:tr>
        <w:trPr>
          <w:cantSplit/>
          <w:tblHeader/>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Perspective</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Current strength</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Remaining rejection risk</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Materials</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Consistent chemistry and explicit phase uncertainty</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No target phase, oxidation, bond or processed property evidence</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AI and data</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Protected groups, baseline, uncertainty and provenance</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Sparse biased data, omitted microstructure, wide bounds and no prospective validation</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Inverse design</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Joint variables, explicit objective, hard checks and measurement roles</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Heuristic preferences, fixed positive nine element space and no demonstrated experimental information gain</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Aerospace</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Clear units, boundary assumptions, analytical and control checks</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No actual component, transient, creep, fracture or qualified load allowable</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Manufacturing</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Full precision 11 layer volume and mass design</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No proven feedstock, route, process window or reproducibility</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Business and team</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Narrower sponsor hypothesis and reconciled plan</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No signed pilot, secured facilities, customer economics or verified execution commitments</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IP</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An explicit disclosure and evidence handover</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Patent status and claim scope not established; public disclosure requires review</w:t>
            </w:r>
          </w:p>
        </w:tc>
      </w:tr>
    </w:tbl>
    <w:p>
      <w:pPr>
        <w:spacing w:after="20" w:before="0" w:line="120" w:lineRule="auto"/>
      </w:pPr>
      <w:r>
        <w:rPr>
          <w:sz w:val="4"/>
        </w:rPr>
      </w:r>
    </w:p>
    <w:p>
      <w:pPr/>
      <w:r>
        <w:t>This is not a scored prediction of winning SCIDIP. The greatest remaining weaknesses are physical and commercial evidence gaps; they cannot be eliminated by more polished documents or a favorable optimization score.</w:t>
      </w:r>
    </w:p>
    <w:p>
      <w:pPr>
        <w:pStyle w:val="Heading1"/>
      </w:pPr>
      <w:r>
        <w:t>Historical claims that must be reconciled</w:t>
      </w:r>
    </w:p>
    <w:p>
      <w:pPr/>
      <w:r>
        <w:t>The submitted material describes a 3D safety factor of 1.71, 798 MPa von Mises stress, oxidation mass gain 7.5 mg per square centimetre, extensive thermal cycles, zero sigma phase risk, cost reduction and assured manufacturing readiness. No corresponding verified target outputs sufficient to substantiate those claims were found in the executable evidence. Preserve them as historical assertions and use the current evidence qualified language when preparing the final deck.</w:t>
      </w:r>
    </w:p>
    <w:p>
      <w:pPr/>
      <w:r>
        <w:t>The old claim that IIT Delhi has the only suitable Indian LENS cluster is not established. A facility listing is not access approval. The old SRM stator application lacks magnetic property and loss data. Program shortlisting is evidence of passing a selection process, not independent scientific validation of all performance assertions.</w:t>
      </w:r>
    </w:p>
    <w:p>
      <w:pPr/>
      <w:r>
        <w:t>A claim reconciliation CSV accompanies the pack. It maps historical wording to current status and the evidence needed to promote a future claim. It should be consulted before copying a number from an older appendix or briefing.</w:t>
      </w:r>
    </w:p>
    <w:p>
      <w:pPr>
        <w:pStyle w:val="Heading1"/>
      </w:pPr>
      <w:r>
        <w:t>Invention disclosure preparation for the next phase</w:t>
      </w:r>
    </w:p>
    <w:p>
      <w:pPr/>
      <w:r>
        <w:t>The next patent focused phase should start with an invention disclosure and a focused prior art search, not a claim that using AI, DE or eleven layers is inherently new. Potential subjects to investigate include a specific supported composition window, a manufacturable graded architecture, a validated process or a defined technical selection method producing a demonstrated effect. Current candidate novelty and inventiveness are not established.</w:t>
      </w:r>
    </w:p>
    <w:p>
      <w:pPr/>
      <w:r>
        <w:t>Collect the contributors and their actual technical contributions, employment and assignment records, dated design and experiment history, exact embodiments, alternatives, comparative results, reproducibility information, public disclosure dates and intended commercial use. For each potential contribution, record what is new relative to known work and which evidence supports its technical effect. Do not invent an advantage simply to fill a patent section.</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Record required</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Present status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Claimed application 202641084226</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Appears in prior documents; receipt, specification, ownership and HE MCGA mapping not verified here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HE MCGA publication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Article identifier, manuscript and supporting outputs not supplied as verified evidence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Battery related research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May be separate work; cannot establish this material's performance or patent coverage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Repository disclosure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Repository was observed public; exact publication and commit disclosure dates need a timeline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New physical evidence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No new measurements from these computational phases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Collaborative ownership</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IIT Delhi, sponsor and contributor terms need agreement before joint results</w:t>
            </w:r>
          </w:p>
        </w:tc>
      </w:tr>
    </w:tbl>
    <w:p>
      <w:pPr>
        <w:spacing w:after="20" w:before="0" w:line="120" w:lineRule="auto"/>
      </w:pPr>
      <w:r>
        <w:rPr>
          <w:sz w:val="4"/>
        </w:rPr>
      </w:r>
    </w:p>
    <w:p>
      <w:pPr/>
      <w:r>
        <w:t>This is a readiness record for professional assessment, not a patent filing, novelty opinion, grant claim or freedom to operate conclusion. The full prior art and legal drafting work is reserved for the next phase specified in the attached instructions.</w:t>
      </w:r>
    </w:p>
    <w:p>
      <w:pPr>
        <w:pStyle w:val="Heading1"/>
      </w:pPr>
      <w:r>
        <w:t>Final deck preparation boundary</w:t>
      </w:r>
    </w:p>
    <w:p>
      <w:pPr/>
      <w:r>
        <w:t>The following deck phase should lead with the problem, the method and the current evidence, then ask for support to resolve a defined uncertainty. Use a small main story with technical backup, a reconciled finance sheet and clearly proposed milestones. Do not silently replace an unverified performance claim with another attractive number from a different model or candidate.</w:t>
      </w:r>
    </w:p>
    <w:p>
      <w:pPr/>
      <w:r>
        <w:t>Before pitching, confirm eligibility, named team participation, facility feasibility, cost quotations and the latest event email. Before any public release, review contributor consent, data rights and disclosure implications. The goal of this pack is that every team member can explain both the scientific mechanism and the precise limits of what we have done.</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Strict project audit and IP preparation handover</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