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color w:val="0B1D51"/>
          <w:sz w:val="36"/>
        </w:rPr>
        <w:t>CRYSTAL PARADIGM PRIVATE LIMITED</w:t>
      </w:r>
    </w:p>
    <w:p>
      <w:pPr>
        <w:jc w:val="center"/>
      </w:pPr>
      <w:r>
        <w:rPr>
          <w:b/>
          <w:color w:val="1B4832"/>
          <w:sz w:val="28"/>
        </w:rPr>
        <w:t>Project Proposal — SCIDIP 2026</w:t>
      </w:r>
    </w:p>
    <w:p>
      <w:pPr>
        <w:jc w:val="center"/>
      </w:pPr>
      <w:r>
        <w:rPr>
          <w:i/>
          <w:color w:val="555555"/>
          <w:sz w:val="22"/>
        </w:rPr>
        <w:t>Sona Comstar — IIT Delhi Innovation Program (6th Call)</w:t>
      </w:r>
    </w:p>
    <w:p>
      <w:pPr>
        <w:jc w:val="center"/>
      </w:pPr>
      <w:r>
        <w:rPr>
          <w:color w:val="555555"/>
          <w:sz w:val="20"/>
        </w:rPr>
        <w:t>crystalparadigm.in  |  khub.crystalparadigm@gmail.com  |  Hyderabad, India</w:t>
      </w:r>
    </w:p>
    <w:p>
      <w:pPr>
        <w:spacing w:before="120" w:after="120"/>
      </w:pPr>
      <w:r>
        <w:rPr>
          <w:color w:val="BBBBBB"/>
          <w:sz w:val="14"/>
        </w:rPr>
        <w:t>━━━━━━━━━━━━━━━━━━━━━━━━━━━━━━━━━━━━━━━━━━━━━━━━━━━━━━━━━━━━━━━━━━━━━━━━━━━━━━━━━━━━━</w:t>
      </w:r>
    </w:p>
    <w:p>
      <w:pPr>
        <w:spacing w:before="320" w:after="60"/>
      </w:pPr>
      <w:r>
        <w:rPr>
          <w:b/>
          <w:color w:val="0B1D51"/>
          <w:sz w:val="28"/>
          <w:u w:val="single"/>
        </w:rPr>
        <w:t>Section 1: Project Overview</w:t>
      </w:r>
    </w:p>
    <w:p>
      <w:pPr>
        <w:spacing w:before="20" w:after="80"/>
      </w:pPr>
      <w:r>
        <w:rPr>
          <w:color w:val="1A1A2E"/>
          <w:sz w:val="21"/>
        </w:rPr>
        <w:t>Crystal Paradigm presents a closed-loop, physics-informed AI platform for inverse design of extreme-environment materials — specifically, a Refractory High-Entropy Alloy (RHEA) substrate integrated with an 11-layer Functionally Graded Material (FGM) thermal barrier coating, validated to operate at 1400°C (1673 K) under 15,000 RPM turbine blade loading. Our system — designated HE-MCGA (High-Entropy alloy + Multi-layer Ceramic Graded Architecture) — has been engineered entirely through computational inverse design, achieving an externally validated 3D aerospace Safety Factor of 1.71 (exceeding the 1.50 airworthiness threshold by 14%), an oxidation mass gain of just 7.5 mg/cm2, and a &gt;75% reduction in critical Hafnium exposure versus baseline CMSX-4 superalloys. The platform is at TRL 3+, with Indian Patent filed (App No: 202641084226), Q1-SCI publication co-authored, and a hardware-agnostic LENS manufacturing recipe generated. SCIDIP funding and IIT Delhi CRF access are the precise next step to advance this platform to TRL 4/5 physical validation.</w:t>
      </w:r>
    </w:p>
    <w:p>
      <w:pPr>
        <w:spacing w:before="160" w:after="40"/>
      </w:pPr>
      <w:r>
        <w:rPr>
          <w:b/>
          <w:color w:val="1B4832"/>
          <w:sz w:val="24"/>
        </w:rPr>
        <w:t>Core Innovation Stack:</w:t>
      </w:r>
    </w:p>
    <w:p>
      <w:pPr>
        <w:pStyle w:val="ListBullet"/>
        <w:spacing w:before="20" w:after="40"/>
      </w:pPr>
      <w:r>
        <w:rPr>
          <w:color w:val="1A1A2E"/>
          <w:sz w:val="20"/>
        </w:rPr>
        <w:t>9-Element Refractory HEA (RHEA): Ta-W-Cr-V-Ti-Hf-Zr-Nb compositional space. Single-phase BCC stability (</w:t>
      </w:r>
      <w:r>
        <w:rPr>
          <w:b/>
          <w:color w:val="1A1A2E"/>
          <w:sz w:val="20"/>
        </w:rPr>
        <w:t>VEC=5.02</w:t>
      </w:r>
      <w:r>
        <w:rPr>
          <w:color w:val="1A1A2E"/>
          <w:sz w:val="20"/>
        </w:rPr>
        <w:t>), &gt;917.7 MPa yield strength at 1400K. Exact molar fractions patent-protected under NDA.</w:t>
      </w:r>
    </w:p>
    <w:p>
      <w:pPr>
        <w:pStyle w:val="ListBullet"/>
        <w:spacing w:before="20" w:after="40"/>
      </w:pPr>
      <w:r>
        <w:rPr>
          <w:color w:val="1A1A2E"/>
          <w:sz w:val="20"/>
        </w:rPr>
        <w:t xml:space="preserve">11-Layer FGM Architecture: Power-law gradient (n=1.1) over 5mm zone from 100% RHEA metal to 100% LZO ceramic. Interface shear stress: </w:t>
      </w:r>
      <w:r>
        <w:rPr>
          <w:b/>
          <w:color w:val="1A1A2E"/>
          <w:sz w:val="20"/>
        </w:rPr>
        <w:t>15.95 MPa</w:t>
      </w:r>
      <w:r>
        <w:rPr>
          <w:color w:val="1A1A2E"/>
          <w:sz w:val="20"/>
        </w:rPr>
        <w:t xml:space="preserve"> (well below delamination threshold).</w:t>
      </w:r>
    </w:p>
    <w:p>
      <w:pPr>
        <w:pStyle w:val="ListBullet"/>
        <w:spacing w:before="20" w:after="40"/>
      </w:pPr>
      <w:r>
        <w:rPr>
          <w:color w:val="1A1A2E"/>
          <w:sz w:val="20"/>
        </w:rPr>
        <w:t xml:space="preserve">Transpiration Cooling Network (TCN): Co-deposited micro-porous channels replacing drilled holes (Kt&gt;=3.0), eliminating stress concentration hotspots and reducing compressor parasitic bleed air </w:t>
      </w:r>
      <w:r>
        <w:rPr>
          <w:b/>
          <w:color w:val="1A1A2E"/>
          <w:sz w:val="20"/>
        </w:rPr>
        <w:t>by 15%</w:t>
      </w:r>
      <w:r>
        <w:rPr>
          <w:color w:val="1A1A2E"/>
          <w:sz w:val="20"/>
        </w:rPr>
        <w:t>.</w:t>
      </w:r>
    </w:p>
    <w:p>
      <w:pPr>
        <w:pStyle w:val="ListBullet"/>
        <w:spacing w:before="20" w:after="40"/>
      </w:pPr>
      <w:r>
        <w:rPr>
          <w:color w:val="1A1A2E"/>
          <w:sz w:val="20"/>
        </w:rPr>
        <w:t>AI Platform: Random Forest surrogate (</w:t>
      </w:r>
      <w:r>
        <w:rPr>
          <w:b/>
          <w:color w:val="1A1A2E"/>
          <w:sz w:val="20"/>
        </w:rPr>
        <w:t>R2=0.977</w:t>
      </w:r>
      <w:r>
        <w:rPr>
          <w:color w:val="1A1A2E"/>
          <w:sz w:val="20"/>
        </w:rPr>
        <w:t>, MAE=8.11 GPa), Constrained Differential Evolution, 3D FEniCS FEA, CALPHAD TCHEA4, MACE+CHGNet MLFF-MD on 20,000-atom supercell.</w:t>
      </w:r>
    </w:p>
    <w:p>
      <w:pPr>
        <w:spacing w:before="120" w:after="120"/>
      </w:pPr>
      <w:r>
        <w:rPr>
          <w:color w:val="BBBBBB"/>
          <w:sz w:val="14"/>
        </w:rPr>
        <w:t>━━━━━━━━━━━━━━━━━━━━━━━━━━━━━━━━━━━━━━━━━━━━━━━━━━━━━━━━━━━━━━━━━━━━━━━━━━━━━━━━━━━━━</w:t>
      </w:r>
    </w:p>
    <w:p>
      <w:pPr>
        <w:spacing w:before="320" w:after="60"/>
      </w:pPr>
      <w:r>
        <w:rPr>
          <w:b/>
          <w:color w:val="0B1D51"/>
          <w:sz w:val="28"/>
          <w:u w:val="single"/>
        </w:rPr>
        <w:t>Section 2: Project Objectives</w:t>
      </w:r>
    </w:p>
    <w:p>
      <w:pPr>
        <w:spacing w:before="20" w:after="80"/>
      </w:pPr>
      <w:r>
        <w:rPr>
          <w:color w:val="1A1A2E"/>
          <w:sz w:val="21"/>
        </w:rPr>
        <w:t>The HE-MCGA project is governed by six precise, measurable engineering objectives — each with a hard go/no-go gate drawn from aerospace airworthiness and materials qualification standards. Computational validation (TRL 3+) has confirmed all six objectives are achievable. Physical validation at IIT Delhi CRF is the next required step.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B1D51"/>
          </w:tcPr>
          <w:p>
            <w:r>
              <w:rPr>
                <w:b/>
                <w:color w:val="FFFFFF"/>
                <w:sz w:val="20"/>
              </w:rPr>
              <w:t>#</w:t>
            </w:r>
          </w:p>
        </w:tc>
        <w:tc>
          <w:tcPr>
            <w:tcW w:type="dxa" w:w="1881"/>
            <w:shd w:val="clear" w:color="auto" w:fill="0B1D51"/>
          </w:tcPr>
          <w:p>
            <w:r>
              <w:rPr>
                <w:b/>
                <w:color w:val="FFFFFF"/>
                <w:sz w:val="20"/>
              </w:rPr>
              <w:t>Objective</w:t>
            </w:r>
          </w:p>
        </w:tc>
        <w:tc>
          <w:tcPr>
            <w:tcW w:type="dxa" w:w="1881"/>
            <w:shd w:val="clear" w:color="auto" w:fill="0B1D51"/>
          </w:tcPr>
          <w:p>
            <w:r>
              <w:rPr>
                <w:b/>
                <w:color w:val="FFFFFF"/>
                <w:sz w:val="20"/>
              </w:rPr>
              <w:t>Quantitative Target</w:t>
            </w:r>
          </w:p>
        </w:tc>
        <w:tc>
          <w:tcPr>
            <w:tcW w:type="dxa" w:w="1881"/>
            <w:shd w:val="clear" w:color="auto" w:fill="0B1D51"/>
          </w:tcPr>
          <w:p>
            <w:r>
              <w:rPr>
                <w:b/>
                <w:color w:val="FFFFFF"/>
                <w:sz w:val="20"/>
              </w:rPr>
              <w:t>Computational Status</w:t>
            </w:r>
          </w:p>
        </w:tc>
        <w:tc>
          <w:tcPr>
            <w:tcW w:type="dxa" w:w="1881"/>
            <w:shd w:val="clear" w:color="auto" w:fill="0B1D51"/>
          </w:tcPr>
          <w:p>
            <w:r>
              <w:rPr>
                <w:b/>
                <w:color w:val="FFFFFF"/>
                <w:sz w:val="20"/>
              </w:rPr>
              <w:t>Physical Validation Method</w:t>
            </w:r>
          </w:p>
        </w:tc>
      </w:tr>
      <w:tr>
        <w:tc>
          <w:tcPr>
            <w:tcW w:type="dxa" w:w="1881"/>
            <w:shd w:val="clear" w:color="auto" w:fill="ECF0F1"/>
          </w:tcPr>
          <w:p>
            <w:r>
              <w:rPr>
                <w:color w:val="1A1A2E"/>
                <w:sz w:val="20"/>
              </w:rPr>
              <w:t>O1</w:t>
            </w:r>
          </w:p>
        </w:tc>
        <w:tc>
          <w:tcPr>
            <w:tcW w:type="dxa" w:w="1881"/>
            <w:shd w:val="clear" w:color="auto" w:fill="ECF0F1"/>
          </w:tcPr>
          <w:p>
            <w:r>
              <w:rPr>
                <w:color w:val="1A1A2E"/>
                <w:sz w:val="20"/>
              </w:rPr>
              <w:t>Structural Safety Factor Certification</w:t>
            </w:r>
          </w:p>
        </w:tc>
        <w:tc>
          <w:tcPr>
            <w:tcW w:type="dxa" w:w="1881"/>
            <w:shd w:val="clear" w:color="auto" w:fill="ECF0F1"/>
          </w:tcPr>
          <w:p>
            <w:r>
              <w:rPr>
                <w:color w:val="1A1A2E"/>
                <w:sz w:val="20"/>
              </w:rPr>
              <w:t>SF &gt;= 1.50 at 15,000 RPM + 1400°C</w:t>
            </w:r>
          </w:p>
        </w:tc>
        <w:tc>
          <w:tcPr>
            <w:tcW w:type="dxa" w:w="1881"/>
            <w:shd w:val="clear" w:color="auto" w:fill="ECF0F1"/>
          </w:tcPr>
          <w:p>
            <w:r>
              <w:rPr>
                <w:color w:val="1A1A2E"/>
                <w:sz w:val="20"/>
              </w:rPr>
              <w:t>ACHIEVED: SF = 1.71 (3D FEniCS FEA)</w:t>
            </w:r>
          </w:p>
        </w:tc>
        <w:tc>
          <w:tcPr>
            <w:tcW w:type="dxa" w:w="1881"/>
            <w:shd w:val="clear" w:color="auto" w:fill="ECF0F1"/>
          </w:tcPr>
          <w:p>
            <w:r>
              <w:rPr>
                <w:color w:val="1A1A2E"/>
                <w:sz w:val="20"/>
              </w:rPr>
              <w:t>Thermal cycling rig + SEM/EDS coupon pull-off test</w:t>
            </w:r>
          </w:p>
        </w:tc>
      </w:tr>
      <w:tr>
        <w:tc>
          <w:tcPr>
            <w:tcW w:type="dxa" w:w="1881"/>
            <w:shd w:val="clear" w:color="auto" w:fill="FFFFFF"/>
          </w:tcPr>
          <w:p>
            <w:r>
              <w:rPr>
                <w:color w:val="1A1A2E"/>
                <w:sz w:val="20"/>
              </w:rPr>
              <w:t>O2</w:t>
            </w:r>
          </w:p>
        </w:tc>
        <w:tc>
          <w:tcPr>
            <w:tcW w:type="dxa" w:w="1881"/>
            <w:shd w:val="clear" w:color="auto" w:fill="FFFFFF"/>
          </w:tcPr>
          <w:p>
            <w:r>
              <w:rPr>
                <w:color w:val="1A1A2E"/>
                <w:sz w:val="20"/>
              </w:rPr>
              <w:t>Oxidation Kinetics Control</w:t>
            </w:r>
          </w:p>
        </w:tc>
        <w:tc>
          <w:tcPr>
            <w:tcW w:type="dxa" w:w="1881"/>
            <w:shd w:val="clear" w:color="auto" w:fill="FFFFFF"/>
          </w:tcPr>
          <w:p>
            <w:r>
              <w:rPr>
                <w:color w:val="1A1A2E"/>
                <w:sz w:val="20"/>
              </w:rPr>
              <w:t>Mass gain &lt; 10 mg/cm2 at 1400°C</w:t>
            </w:r>
          </w:p>
        </w:tc>
        <w:tc>
          <w:tcPr>
            <w:tcW w:type="dxa" w:w="1881"/>
            <w:shd w:val="clear" w:color="auto" w:fill="FFFFFF"/>
          </w:tcPr>
          <w:p>
            <w:r>
              <w:rPr>
                <w:color w:val="1A1A2E"/>
                <w:sz w:val="20"/>
              </w:rPr>
              <w:t>ACHIEVED: 7.5 mg/cm2 (MACE+CHGNet MD)</w:t>
            </w:r>
          </w:p>
        </w:tc>
        <w:tc>
          <w:tcPr>
            <w:tcW w:type="dxa" w:w="1881"/>
            <w:shd w:val="clear" w:color="auto" w:fill="FFFFFF"/>
          </w:tcPr>
          <w:p>
            <w:r>
              <w:rPr>
                <w:color w:val="1A1A2E"/>
                <w:sz w:val="20"/>
              </w:rPr>
              <w:t>TGA on fabricated coupons at IIT Delhi CRF</w:t>
            </w:r>
          </w:p>
        </w:tc>
      </w:tr>
      <w:tr>
        <w:tc>
          <w:tcPr>
            <w:tcW w:type="dxa" w:w="1881"/>
            <w:shd w:val="clear" w:color="auto" w:fill="ECF0F1"/>
          </w:tcPr>
          <w:p>
            <w:r>
              <w:rPr>
                <w:color w:val="1A1A2E"/>
                <w:sz w:val="20"/>
              </w:rPr>
              <w:t>O3</w:t>
            </w:r>
          </w:p>
        </w:tc>
        <w:tc>
          <w:tcPr>
            <w:tcW w:type="dxa" w:w="1881"/>
            <w:shd w:val="clear" w:color="auto" w:fill="ECF0F1"/>
          </w:tcPr>
          <w:p>
            <w:r>
              <w:rPr>
                <w:color w:val="1A1A2E"/>
                <w:sz w:val="20"/>
              </w:rPr>
              <w:t>Phase Stability — Zero Sigma Phase</w:t>
            </w:r>
          </w:p>
        </w:tc>
        <w:tc>
          <w:tcPr>
            <w:tcW w:type="dxa" w:w="1881"/>
            <w:shd w:val="clear" w:color="auto" w:fill="ECF0F1"/>
          </w:tcPr>
          <w:p>
            <w:r>
              <w:rPr>
                <w:color w:val="1A1A2E"/>
                <w:sz w:val="20"/>
              </w:rPr>
              <w:t>Single-phase BCC, VEC = 5.02, &lt;5% sigma risk</w:t>
            </w:r>
          </w:p>
        </w:tc>
        <w:tc>
          <w:tcPr>
            <w:tcW w:type="dxa" w:w="1881"/>
            <w:shd w:val="clear" w:color="auto" w:fill="ECF0F1"/>
          </w:tcPr>
          <w:p>
            <w:r>
              <w:rPr>
                <w:color w:val="1A1A2E"/>
                <w:sz w:val="20"/>
              </w:rPr>
              <w:t>CONFIRMED: CALPHAD TCHEA4 + GB Regressor R2=0.958</w:t>
            </w:r>
          </w:p>
        </w:tc>
        <w:tc>
          <w:tcPr>
            <w:tcW w:type="dxa" w:w="1881"/>
            <w:shd w:val="clear" w:color="auto" w:fill="ECF0F1"/>
          </w:tcPr>
          <w:p>
            <w:r>
              <w:rPr>
                <w:color w:val="1A1A2E"/>
                <w:sz w:val="20"/>
              </w:rPr>
              <w:t>High-temp XRD post 1000 thermal cycles</w:t>
            </w:r>
          </w:p>
        </w:tc>
      </w:tr>
      <w:tr>
        <w:tc>
          <w:tcPr>
            <w:tcW w:type="dxa" w:w="1881"/>
            <w:shd w:val="clear" w:color="auto" w:fill="FFFFFF"/>
          </w:tcPr>
          <w:p>
            <w:r>
              <w:rPr>
                <w:color w:val="1A1A2E"/>
                <w:sz w:val="20"/>
              </w:rPr>
              <w:t>O4</w:t>
            </w:r>
          </w:p>
        </w:tc>
        <w:tc>
          <w:tcPr>
            <w:tcW w:type="dxa" w:w="1881"/>
            <w:shd w:val="clear" w:color="auto" w:fill="FFFFFF"/>
          </w:tcPr>
          <w:p>
            <w:r>
              <w:rPr>
                <w:color w:val="1A1A2E"/>
                <w:sz w:val="20"/>
              </w:rPr>
              <w:t>Interface Shear Stress Minimization</w:t>
            </w:r>
          </w:p>
        </w:tc>
        <w:tc>
          <w:tcPr>
            <w:tcW w:type="dxa" w:w="1881"/>
            <w:shd w:val="clear" w:color="auto" w:fill="FFFFFF"/>
          </w:tcPr>
          <w:p>
            <w:r>
              <w:rPr>
                <w:color w:val="1A1A2E"/>
                <w:sz w:val="20"/>
              </w:rPr>
              <w:t>Interface shear &lt; 20 MPa</w:t>
            </w:r>
          </w:p>
        </w:tc>
        <w:tc>
          <w:tcPr>
            <w:tcW w:type="dxa" w:w="1881"/>
            <w:shd w:val="clear" w:color="auto" w:fill="FFFFFF"/>
          </w:tcPr>
          <w:p>
            <w:r>
              <w:rPr>
                <w:color w:val="1A1A2E"/>
                <w:sz w:val="20"/>
              </w:rPr>
              <w:t>ACHIEVED: 15.95 MPa (1D/3D FEA, n=1.1 gradient)</w:t>
            </w:r>
          </w:p>
        </w:tc>
        <w:tc>
          <w:tcPr>
            <w:tcW w:type="dxa" w:w="1881"/>
            <w:shd w:val="clear" w:color="auto" w:fill="FFFFFF"/>
          </w:tcPr>
          <w:p>
            <w:r>
              <w:rPr>
                <w:color w:val="1A1A2E"/>
                <w:sz w:val="20"/>
              </w:rPr>
              <w:t>Adhesion + pull-off testing on 11-layer coupons</w:t>
            </w:r>
          </w:p>
        </w:tc>
      </w:tr>
      <w:tr>
        <w:tc>
          <w:tcPr>
            <w:tcW w:type="dxa" w:w="1881"/>
            <w:shd w:val="clear" w:color="auto" w:fill="ECF0F1"/>
          </w:tcPr>
          <w:p>
            <w:r>
              <w:rPr>
                <w:color w:val="1A1A2E"/>
                <w:sz w:val="20"/>
              </w:rPr>
              <w:t>O5</w:t>
            </w:r>
          </w:p>
        </w:tc>
        <w:tc>
          <w:tcPr>
            <w:tcW w:type="dxa" w:w="1881"/>
            <w:shd w:val="clear" w:color="auto" w:fill="ECF0F1"/>
          </w:tcPr>
          <w:p>
            <w:r>
              <w:rPr>
                <w:color w:val="1A1A2E"/>
                <w:sz w:val="20"/>
              </w:rPr>
              <w:t>Strategic Element Substitution</w:t>
            </w:r>
          </w:p>
        </w:tc>
        <w:tc>
          <w:tcPr>
            <w:tcW w:type="dxa" w:w="1881"/>
            <w:shd w:val="clear" w:color="auto" w:fill="ECF0F1"/>
          </w:tcPr>
          <w:p>
            <w:r>
              <w:rPr>
                <w:color w:val="1A1A2E"/>
                <w:sz w:val="20"/>
              </w:rPr>
              <w:t>Hf reduction &gt; 50% vs CMSX-4</w:t>
            </w:r>
          </w:p>
        </w:tc>
        <w:tc>
          <w:tcPr>
            <w:tcW w:type="dxa" w:w="1881"/>
            <w:shd w:val="clear" w:color="auto" w:fill="ECF0F1"/>
          </w:tcPr>
          <w:p>
            <w:r>
              <w:rPr>
                <w:color w:val="1A1A2E"/>
                <w:sz w:val="20"/>
              </w:rPr>
              <w:t>EXCEEDED: &gt;75% Hf reduction (Gorsse 2025 framework)</w:t>
            </w:r>
          </w:p>
        </w:tc>
        <w:tc>
          <w:tcPr>
            <w:tcW w:type="dxa" w:w="1881"/>
            <w:shd w:val="clear" w:color="auto" w:fill="ECF0F1"/>
          </w:tcPr>
          <w:p>
            <w:r>
              <w:rPr>
                <w:color w:val="1A1A2E"/>
                <w:sz w:val="20"/>
              </w:rPr>
              <w:t>ICP-OES compositional analysis of fabricated samples</w:t>
            </w:r>
          </w:p>
        </w:tc>
      </w:tr>
      <w:tr>
        <w:tc>
          <w:tcPr>
            <w:tcW w:type="dxa" w:w="1881"/>
            <w:shd w:val="clear" w:color="auto" w:fill="FFFFFF"/>
          </w:tcPr>
          <w:p>
            <w:r>
              <w:rPr>
                <w:color w:val="1A1A2E"/>
                <w:sz w:val="20"/>
              </w:rPr>
              <w:t>O6</w:t>
            </w:r>
          </w:p>
        </w:tc>
        <w:tc>
          <w:tcPr>
            <w:tcW w:type="dxa" w:w="1881"/>
            <w:shd w:val="clear" w:color="auto" w:fill="FFFFFF"/>
          </w:tcPr>
          <w:p>
            <w:r>
              <w:rPr>
                <w:color w:val="1A1A2E"/>
                <w:sz w:val="20"/>
              </w:rPr>
              <w:t>Manufacturing Translation</w:t>
            </w:r>
          </w:p>
        </w:tc>
        <w:tc>
          <w:tcPr>
            <w:tcW w:type="dxa" w:w="1881"/>
            <w:shd w:val="clear" w:color="auto" w:fill="FFFFFF"/>
          </w:tcPr>
          <w:p>
            <w:r>
              <w:rPr>
                <w:color w:val="1A1A2E"/>
                <w:sz w:val="20"/>
              </w:rPr>
              <w:t>Hardware-agnostic 11-layer LENS recipe generated</w:t>
            </w:r>
          </w:p>
        </w:tc>
        <w:tc>
          <w:tcPr>
            <w:tcW w:type="dxa" w:w="1881"/>
            <w:shd w:val="clear" w:color="auto" w:fill="FFFFFF"/>
          </w:tcPr>
          <w:p>
            <w:r>
              <w:rPr>
                <w:color w:val="1A1A2E"/>
                <w:sz w:val="20"/>
              </w:rPr>
              <w:t>COMPLETE: manufacturing_recipe.csv (200-400W, 500-1000 mm/min)</w:t>
            </w:r>
          </w:p>
        </w:tc>
        <w:tc>
          <w:tcPr>
            <w:tcW w:type="dxa" w:w="1881"/>
            <w:shd w:val="clear" w:color="auto" w:fill="FFFFFF"/>
          </w:tcPr>
          <w:p>
            <w:r>
              <w:rPr>
                <w:color w:val="1A1A2E"/>
                <w:sz w:val="20"/>
              </w:rPr>
              <w:t>Execute at IIT Delhi CRF LENS/DED multi-hopper system</w:t>
            </w:r>
          </w:p>
        </w:tc>
      </w:tr>
    </w:tbl>
    <w:p/>
    <w:p>
      <w:pPr>
        <w:spacing w:before="120" w:after="120"/>
      </w:pPr>
      <w:r>
        <w:rPr>
          <w:color w:val="BBBBBB"/>
          <w:sz w:val="14"/>
        </w:rPr>
        <w:t>━━━━━━━━━━━━━━━━━━━━━━━━━━━━━━━━━━━━━━━━━━━━━━━━━━━━━━━━━━━━━━━━━━━━━━━━━━━━━━━━━━━━━</w:t>
      </w:r>
    </w:p>
    <w:p>
      <w:pPr>
        <w:spacing w:before="320" w:after="60"/>
      </w:pPr>
      <w:r>
        <w:rPr>
          <w:b/>
          <w:color w:val="0B1D51"/>
          <w:sz w:val="28"/>
          <w:u w:val="single"/>
        </w:rPr>
        <w:t>Section 3: Proposed Collaboration Phases with IIT Delhi &amp; Sona Comstar</w:t>
      </w:r>
    </w:p>
    <w:p>
      <w:pPr>
        <w:spacing w:before="20" w:after="80"/>
      </w:pPr>
      <w:r>
        <w:rPr>
          <w:color w:val="1A1A2E"/>
          <w:sz w:val="21"/>
        </w:rPr>
        <w:t>The 24-month SCIDIP incubation support is structured across three sequential phases. No fixed calendar timelines are proposed — milestone-based gate reviews govern progression, consistent with SCIDIP program guidelines.</w:t>
      </w:r>
    </w:p>
    <w:p>
      <w:pPr>
        <w:spacing w:before="160" w:after="40"/>
      </w:pPr>
      <w:r>
        <w:rPr>
          <w:b/>
          <w:color w:val="1B4832"/>
          <w:sz w:val="24"/>
        </w:rPr>
        <w:t>Phase 1: High-Fidelity Computational Verification &amp; Core Architecture Audits</w:t>
      </w:r>
    </w:p>
    <w:p>
      <w:pPr>
        <w:spacing w:before="120" w:after="20"/>
      </w:pPr>
      <w:r>
        <w:rPr>
          <w:b/>
          <w:color w:val="C07A00"/>
          <w:sz w:val="22"/>
        </w:rPr>
        <w:t>Engineering Objective:</w:t>
      </w:r>
    </w:p>
    <w:p>
      <w:pPr>
        <w:spacing w:before="20" w:after="80"/>
      </w:pPr>
      <w:r>
        <w:rPr>
          <w:color w:val="1A1A2E"/>
          <w:sz w:val="21"/>
        </w:rPr>
        <w:t>Extend, certify and stress-test the already-validated computational results through additional high-fidelity runs targeting extreme operating envelopes beyond the current validation scope. Establish the physical experimental protocol for Phase 2.</w:t>
      </w:r>
    </w:p>
    <w:p>
      <w:pPr>
        <w:spacing w:before="120" w:after="20"/>
      </w:pPr>
      <w:r>
        <w:rPr>
          <w:b/>
          <w:color w:val="C07A00"/>
          <w:sz w:val="22"/>
        </w:rPr>
        <w:t>Milestone 1 Core Actions:</w:t>
      </w:r>
    </w:p>
    <w:p>
      <w:pPr>
        <w:pStyle w:val="ListBullet"/>
        <w:spacing w:before="20" w:after="40"/>
      </w:pPr>
      <w:r>
        <w:rPr>
          <w:color w:val="1A1A2E"/>
          <w:sz w:val="20"/>
        </w:rPr>
        <w:t>Execute unreduced 3D FEniCS thermomechanical FEA stress grids on our top candidate under 20,000+ thermal cycles (1400K to 300K), directly factoring in localized stress concentration multipliers and out-of-phase thermal gradients</w:t>
      </w:r>
    </w:p>
    <w:p>
      <w:pPr>
        <w:pStyle w:val="ListBullet"/>
        <w:spacing w:before="20" w:after="40"/>
      </w:pPr>
      <w:r>
        <w:rPr>
          <w:color w:val="1A1A2E"/>
          <w:sz w:val="20"/>
        </w:rPr>
        <w:t xml:space="preserve">Refine the in-memory ML surrogate engine using additional multi-source datasets (Materials Project, OQMD, AFLOW, JARVIS-DFT) to tighten bulk modulus prediction to </w:t>
      </w:r>
      <w:r>
        <w:rPr>
          <w:b/>
          <w:color w:val="1A1A2E"/>
          <w:sz w:val="20"/>
        </w:rPr>
        <w:t>MAE &lt; 7 GPa</w:t>
      </w:r>
      <w:r>
        <w:rPr>
          <w:color w:val="1A1A2E"/>
          <w:sz w:val="20"/>
        </w:rPr>
      </w:r>
    </w:p>
    <w:p>
      <w:pPr>
        <w:pStyle w:val="ListBullet"/>
        <w:spacing w:before="20" w:after="40"/>
      </w:pPr>
      <w:r>
        <w:rPr>
          <w:color w:val="1A1A2E"/>
          <w:sz w:val="20"/>
        </w:rPr>
        <w:t>Complete full CALPHAD sweep from 300K to 3000K on extended compositional windows to confirm stability margin for manufacturing tolerance variations</w:t>
      </w:r>
    </w:p>
    <w:p>
      <w:pPr>
        <w:pStyle w:val="ListBullet"/>
        <w:spacing w:before="20" w:after="40"/>
      </w:pPr>
      <w:r>
        <w:rPr>
          <w:color w:val="1A1A2E"/>
          <w:sz w:val="20"/>
        </w:rPr>
        <w:t>Design the complete physical characterization experimental protocol in collaboration with IIT Delhi faculty: coupon geometry, thermal cycling schedule, characterization sequence, go/no-go acceptance criteria</w:t>
      </w:r>
    </w:p>
    <w:p>
      <w:pPr>
        <w:pStyle w:val="ListBullet"/>
        <w:spacing w:before="20" w:after="40"/>
      </w:pPr>
      <w:r>
        <w:rPr>
          <w:color w:val="1A1A2E"/>
          <w:sz w:val="20"/>
        </w:rPr>
      </w:r>
      <w:r>
        <w:rPr>
          <w:b/>
          <w:color w:val="1A1A2E"/>
          <w:sz w:val="20"/>
        </w:rPr>
        <w:t>Deliverable</w:t>
      </w:r>
      <w:r>
        <w:rPr>
          <w:color w:val="1A1A2E"/>
          <w:sz w:val="20"/>
        </w:rPr>
        <w:t>: Technical report certifying computational baseline + signed experimental protocol with IIT Delhi faculty co-authors</w:t>
      </w:r>
    </w:p>
    <w:p>
      <w:pPr>
        <w:spacing w:before="120" w:after="20"/>
      </w:pPr>
      <w:r>
        <w:rPr>
          <w:b/>
          <w:color w:val="C07A00"/>
          <w:sz w:val="22"/>
        </w:rPr>
        <w:t>Go/No-Go Gate 1:</w:t>
      </w:r>
    </w:p>
    <w:p>
      <w:pPr>
        <w:spacing w:before="20" w:after="80"/>
      </w:pPr>
      <w:r>
        <w:rPr>
          <w:color w:val="1A1A2E"/>
          <w:sz w:val="21"/>
        </w:rPr>
        <w:t>3D structural Safety Factor confirmed &gt;= 1.71 under extended thermal cycle envelope. Density &lt;= 9.78 g/cm3. VEC = 5.02 securing zero sigma-phase risk. Experimental protocol approved by IIT Delhi faculty.</w:t>
      </w:r>
    </w:p>
    <w:p>
      <w:pPr>
        <w:spacing w:before="160" w:after="40"/>
      </w:pPr>
      <w:r>
        <w:rPr>
          <w:b/>
          <w:color w:val="1B4832"/>
          <w:sz w:val="24"/>
        </w:rPr>
        <w:t>Phase 2: Advanced Additive Net-Shape Fabrication &amp; Porosity Programming</w:t>
      </w:r>
    </w:p>
    <w:p>
      <w:pPr>
        <w:spacing w:before="120" w:after="20"/>
      </w:pPr>
      <w:r>
        <w:rPr>
          <w:b/>
          <w:color w:val="C07A00"/>
          <w:sz w:val="22"/>
        </w:rPr>
        <w:t>Engineering Objective:</w:t>
      </w:r>
    </w:p>
    <w:p>
      <w:pPr>
        <w:spacing w:before="20" w:after="80"/>
      </w:pPr>
      <w:r>
        <w:rPr>
          <w:color w:val="1A1A2E"/>
          <w:sz w:val="21"/>
        </w:rPr>
        <w:t>Convert the computationally validated continuous material gradient physics into discrete manufacturing blueprints and physically fabricate the first-ever HE-MCGA witness coupons using IIT Delhi CRF LENS/DED multi-hopper system.</w:t>
      </w:r>
    </w:p>
    <w:p>
      <w:pPr>
        <w:spacing w:before="120" w:after="20"/>
      </w:pPr>
      <w:r>
        <w:rPr>
          <w:b/>
          <w:color w:val="C07A00"/>
          <w:sz w:val="22"/>
        </w:rPr>
        <w:t>Milestone 2 Core Actions:</w:t>
      </w:r>
    </w:p>
    <w:p>
      <w:pPr>
        <w:pStyle w:val="ListBullet"/>
        <w:spacing w:before="20" w:after="40"/>
      </w:pPr>
      <w:r>
        <w:rPr>
          <w:color w:val="1A1A2E"/>
          <w:sz w:val="20"/>
        </w:rPr>
        <w:t>Procure high-purity refractory elemental powders: Ta, W, Cr, V, Ti, Hf, Zr, Nb (99.9% purity) and LZO ceramic precursor (</w:t>
      </w:r>
      <w:r>
        <w:rPr>
          <w:b/>
          <w:color w:val="1A1A2E"/>
          <w:sz w:val="20"/>
        </w:rPr>
        <w:t>La2Zr2O7</w:t>
      </w:r>
      <w:r>
        <w:rPr>
          <w:color w:val="1A1A2E"/>
          <w:sz w:val="20"/>
        </w:rPr>
        <w:t>) from certified suppliers</w:t>
      </w:r>
    </w:p>
    <w:p>
      <w:pPr>
        <w:pStyle w:val="ListBullet"/>
        <w:spacing w:before="20" w:after="40"/>
      </w:pPr>
      <w:r>
        <w:rPr>
          <w:color w:val="1A1A2E"/>
          <w:sz w:val="20"/>
        </w:rPr>
        <w:t xml:space="preserve">Load and calibrate the 11-layer manufacturing recipe (manufacturing_recipe.csv) on IIT Delhi CRF LENS multi-hopper system: </w:t>
      </w:r>
      <w:r>
        <w:rPr>
          <w:b/>
          <w:color w:val="1A1A2E"/>
          <w:sz w:val="20"/>
        </w:rPr>
        <w:t>200-400W</w:t>
      </w:r>
      <w:r>
        <w:rPr>
          <w:color w:val="1A1A2E"/>
          <w:sz w:val="20"/>
        </w:rPr>
        <w:t xml:space="preserve"> laser power, 500-1000 mm/min scan speed, dual-hopper powder flow</w:t>
      </w:r>
    </w:p>
    <w:p>
      <w:pPr>
        <w:pStyle w:val="ListBullet"/>
        <w:spacing w:before="20" w:after="40"/>
      </w:pPr>
      <w:r>
        <w:rPr>
          <w:color w:val="1A1A2E"/>
          <w:sz w:val="20"/>
        </w:rPr>
        <w:t>Fabricate 5-8 flat FGM witness coupons (25mm x 25mm x 8mm) with integrated transpiration micro-porosity channels via selective laser sintering parameters</w:t>
      </w:r>
    </w:p>
    <w:p>
      <w:pPr>
        <w:pStyle w:val="ListBullet"/>
        <w:spacing w:before="20" w:after="40"/>
      </w:pPr>
      <w:r>
        <w:rPr>
          <w:color w:val="1A1A2E"/>
          <w:sz w:val="20"/>
        </w:rPr>
        <w:t xml:space="preserve">Vacuum thermal relaxation post-deposition (1200°C, 4 hours) to reduce residual tensile stresses from 50-150 MPa to </w:t>
      </w:r>
      <w:r>
        <w:rPr>
          <w:b/>
          <w:color w:val="1A1A2E"/>
          <w:sz w:val="20"/>
        </w:rPr>
        <w:t>&lt;30 MPa</w:t>
      </w:r>
      <w:r>
        <w:rPr>
          <w:color w:val="1A1A2E"/>
          <w:sz w:val="20"/>
        </w:rPr>
      </w:r>
    </w:p>
    <w:p>
      <w:pPr>
        <w:pStyle w:val="ListBullet"/>
        <w:spacing w:before="20" w:after="40"/>
      </w:pPr>
      <w:r>
        <w:rPr>
          <w:color w:val="1A1A2E"/>
          <w:sz w:val="20"/>
        </w:rPr>
        <w:t xml:space="preserve">Microstructural characterization via SEM/EDS: confirm clear layer-wise compositional gradient, zero processing voids, </w:t>
      </w:r>
      <w:r>
        <w:rPr>
          <w:b/>
          <w:color w:val="1A1A2E"/>
          <w:sz w:val="20"/>
        </w:rPr>
        <w:t>zero macro-cracks</w:t>
      </w:r>
      <w:r>
        <w:rPr>
          <w:color w:val="1A1A2E"/>
          <w:sz w:val="20"/>
        </w:rPr>
        <w:t xml:space="preserve"> before proceeding</w:t>
      </w:r>
    </w:p>
    <w:p>
      <w:pPr>
        <w:pStyle w:val="ListBullet"/>
        <w:spacing w:before="20" w:after="40"/>
      </w:pPr>
      <w:r>
        <w:rPr>
          <w:color w:val="1A1A2E"/>
          <w:sz w:val="20"/>
        </w:rPr>
      </w:r>
      <w:r>
        <w:rPr>
          <w:b/>
          <w:color w:val="1A1A2E"/>
          <w:sz w:val="20"/>
        </w:rPr>
        <w:t>Deliverable</w:t>
      </w:r>
      <w:r>
        <w:rPr>
          <w:color w:val="1A1A2E"/>
          <w:sz w:val="20"/>
        </w:rPr>
        <w:t>: 5-8 physically fabricated, structurally sound HE-MCGA witness coupons cleared by SEM/EDS inspection</w:t>
      </w:r>
    </w:p>
    <w:p>
      <w:pPr>
        <w:spacing w:before="120" w:after="20"/>
      </w:pPr>
      <w:r>
        <w:rPr>
          <w:b/>
          <w:color w:val="C07A00"/>
          <w:sz w:val="22"/>
        </w:rPr>
        <w:t>Go/No-Go Gate 2:</w:t>
      </w:r>
    </w:p>
    <w:p>
      <w:pPr>
        <w:spacing w:before="20" w:after="80"/>
      </w:pPr>
      <w:r>
        <w:rPr>
          <w:color w:val="1A1A2E"/>
          <w:sz w:val="21"/>
        </w:rPr>
        <w:t>SEM/EDS confirms clear 11-layer compositional layout across 5mm FGM zone. Zero macro-cracking or processing voids detected. At least 5 coupons cleared for thermal cycling in Phase 3.</w:t>
      </w:r>
    </w:p>
    <w:p>
      <w:pPr>
        <w:spacing w:before="160" w:after="40"/>
      </w:pPr>
      <w:r>
        <w:rPr>
          <w:b/>
          <w:color w:val="1B4832"/>
          <w:sz w:val="24"/>
        </w:rPr>
        <w:t>Phase 3: Empirical Laboratory Characterization &amp; Aerothermal Auditing</w:t>
      </w:r>
    </w:p>
    <w:p>
      <w:pPr>
        <w:spacing w:before="120" w:after="20"/>
      </w:pPr>
      <w:r>
        <w:rPr>
          <w:b/>
          <w:color w:val="C07A00"/>
          <w:sz w:val="22"/>
        </w:rPr>
        <w:t>Engineering Objective:</w:t>
      </w:r>
    </w:p>
    <w:p>
      <w:pPr>
        <w:spacing w:before="20" w:after="80"/>
      </w:pPr>
      <w:r>
        <w:rPr>
          <w:color w:val="1A1A2E"/>
          <w:sz w:val="21"/>
        </w:rPr>
        <w:t>Validate all six project objectives in a physical environment, close the digital twin feedback loop, and achieve TRL 4/5 certification — the final milestone before Sona Comstar supply chain integration.</w:t>
      </w:r>
    </w:p>
    <w:p>
      <w:pPr>
        <w:spacing w:before="120" w:after="20"/>
      </w:pPr>
      <w:r>
        <w:rPr>
          <w:b/>
          <w:color w:val="C07A00"/>
          <w:sz w:val="22"/>
        </w:rPr>
        <w:t>Milestone 3 Core Actions:</w:t>
      </w:r>
    </w:p>
    <w:p>
      <w:pPr>
        <w:pStyle w:val="ListBullet"/>
        <w:spacing w:before="20" w:after="40"/>
      </w:pPr>
      <w:r>
        <w:rPr>
          <w:color w:val="1A1A2E"/>
          <w:sz w:val="20"/>
        </w:rPr>
        <w:t xml:space="preserve">STA (Simultaneous Thermal Analyzer, 1500°C): Measure oxidation mass gain across thermal cycling history. Target: </w:t>
      </w:r>
      <w:r>
        <w:rPr>
          <w:b/>
          <w:color w:val="1A1A2E"/>
          <w:sz w:val="20"/>
        </w:rPr>
        <w:t>&lt;10 mg/cm2</w:t>
      </w:r>
      <w:r>
        <w:rPr>
          <w:color w:val="1A1A2E"/>
          <w:sz w:val="20"/>
        </w:rPr>
        <w:t>. Compare against MACE-MD prediction of 7.5 mg/cm2.</w:t>
      </w:r>
    </w:p>
    <w:p>
      <w:pPr>
        <w:pStyle w:val="ListBullet"/>
        <w:spacing w:before="20" w:after="40"/>
      </w:pPr>
      <w:r>
        <w:rPr>
          <w:color w:val="1A1A2E"/>
          <w:sz w:val="20"/>
        </w:rPr>
        <w:t xml:space="preserve">High-temperature XRD: Verify BCC phase retention and confirm sigma-phase absence at 873-1173K operational window post </w:t>
      </w:r>
      <w:r>
        <w:rPr>
          <w:b/>
          <w:color w:val="1A1A2E"/>
          <w:sz w:val="20"/>
        </w:rPr>
        <w:t>1000 thermal shock cycles</w:t>
      </w:r>
      <w:r>
        <w:rPr>
          <w:color w:val="1A1A2E"/>
          <w:sz w:val="20"/>
        </w:rPr>
      </w:r>
    </w:p>
    <w:p>
      <w:pPr>
        <w:pStyle w:val="ListBullet"/>
        <w:spacing w:before="20" w:after="40"/>
      </w:pPr>
      <w:r>
        <w:rPr>
          <w:color w:val="1A1A2E"/>
          <w:sz w:val="20"/>
        </w:rPr>
        <w:t xml:space="preserve">Automated Thermal Cycling Rig: Subject coupons to </w:t>
      </w:r>
      <w:r>
        <w:rPr>
          <w:b/>
          <w:color w:val="1A1A2E"/>
          <w:sz w:val="20"/>
        </w:rPr>
        <w:t>1000 continuous thermal shock cycles</w:t>
      </w:r>
      <w:r>
        <w:rPr>
          <w:color w:val="1A1A2E"/>
          <w:sz w:val="20"/>
        </w:rPr>
        <w:t xml:space="preserve"> at 1400°C real gas temperature. Monitor for spallation, delamination, and crack propagation.</w:t>
      </w:r>
    </w:p>
    <w:p>
      <w:pPr>
        <w:pStyle w:val="ListBullet"/>
        <w:spacing w:before="20" w:after="40"/>
      </w:pPr>
      <w:r>
        <w:rPr>
          <w:color w:val="1A1A2E"/>
          <w:sz w:val="20"/>
        </w:rPr>
        <w:t>SEM/EDS post-cycling: Confirm zero interface delamination, map any microstructural evolution, measure crack arrest by gradient architecture (</w:t>
      </w:r>
      <w:r>
        <w:rPr>
          <w:b/>
          <w:color w:val="1A1A2E"/>
          <w:sz w:val="20"/>
        </w:rPr>
        <w:t>&lt;1 um propagation</w:t>
      </w:r>
      <w:r>
        <w:rPr>
          <w:color w:val="1A1A2E"/>
          <w:sz w:val="20"/>
        </w:rPr>
        <w:t>)</w:t>
      </w:r>
    </w:p>
    <w:p>
      <w:pPr>
        <w:pStyle w:val="ListBullet"/>
        <w:spacing w:before="20" w:after="40"/>
      </w:pPr>
      <w:r>
        <w:rPr>
          <w:color w:val="1A1A2E"/>
          <w:sz w:val="20"/>
        </w:rPr>
        <w:t>ICP-OES compositional analysis: Verify Hf content reduction vs. CMSX-4 baseline, confirm element distribution</w:t>
      </w:r>
    </w:p>
    <w:p>
      <w:pPr>
        <w:pStyle w:val="ListBullet"/>
        <w:spacing w:before="20" w:after="40"/>
      </w:pPr>
      <w:r>
        <w:rPr>
          <w:color w:val="1A1A2E"/>
          <w:sz w:val="20"/>
        </w:rPr>
        <w:t xml:space="preserve">High-temp furnace burner rig simulation at 1600°C: Measure thermal blockade performance — FGM must demonstrate substrate temperature drop of </w:t>
      </w:r>
      <w:r>
        <w:rPr>
          <w:b/>
          <w:color w:val="1A1A2E"/>
          <w:sz w:val="20"/>
        </w:rPr>
        <w:t>150-200K</w:t>
      </w:r>
      <w:r>
        <w:rPr>
          <w:color w:val="1A1A2E"/>
          <w:sz w:val="20"/>
        </w:rPr>
      </w:r>
    </w:p>
    <w:p>
      <w:pPr>
        <w:pStyle w:val="ListBullet"/>
        <w:spacing w:before="20" w:after="40"/>
      </w:pPr>
      <w:r>
        <w:rPr>
          <w:color w:val="1A1A2E"/>
          <w:sz w:val="20"/>
        </w:rPr>
      </w:r>
      <w:r>
        <w:rPr>
          <w:b/>
          <w:color w:val="1A1A2E"/>
          <w:sz w:val="20"/>
        </w:rPr>
        <w:t>Deliverable</w:t>
      </w:r>
      <w:r>
        <w:rPr>
          <w:color w:val="1A1A2E"/>
          <w:sz w:val="20"/>
        </w:rPr>
        <w:t>: Full empirical validation report. Physical Safety Factor confirmed &gt;= 1.50. Digital twin model updated with experimental discrepancies for next-generation design iteration.</w:t>
      </w:r>
    </w:p>
    <w:p>
      <w:pPr>
        <w:pStyle w:val="ListBullet"/>
        <w:spacing w:before="20" w:after="40"/>
      </w:pPr>
      <w:r>
        <w:rPr>
          <w:color w:val="1A1A2E"/>
          <w:sz w:val="20"/>
        </w:rPr>
      </w:r>
      <w:r>
        <w:rPr>
          <w:b/>
          <w:color w:val="1A1A2E"/>
          <w:sz w:val="20"/>
        </w:rPr>
        <w:t>Sona Comstar</w:t>
      </w:r>
      <w:r>
        <w:rPr>
          <w:color w:val="1A1A2E"/>
          <w:sz w:val="20"/>
        </w:rPr>
        <w:t xml:space="preserve"> downstream mapping: Validated HE-MCGA prototypes presented to Sona Comstar engineering team for integration roadmap into H13 forging dies and SRM stator components</w:t>
      </w:r>
    </w:p>
    <w:p>
      <w:pPr>
        <w:spacing w:before="120" w:after="20"/>
      </w:pPr>
      <w:r>
        <w:rPr>
          <w:b/>
          <w:color w:val="C07A00"/>
          <w:sz w:val="22"/>
        </w:rPr>
        <w:t>Go/No-Go Gate 3 (Final):</w:t>
      </w:r>
    </w:p>
    <w:p>
      <w:pPr>
        <w:spacing w:before="20" w:after="80"/>
      </w:pPr>
      <w:r>
        <w:rPr>
          <w:color w:val="1A1A2E"/>
          <w:sz w:val="21"/>
        </w:rPr>
        <w:t>Zero interface delamination or spallation after 1000 thermal cycles. Physical Safety Factor &gt;= 1.50 confirmed. Oxidation mass gain &lt; 10 mg/cm2 empirically measured. TRL 4/5 achieved. Project exits to Sona Comstar commercialization pathway.</w:t>
      </w:r>
    </w:p>
    <w:p>
      <w:pPr>
        <w:spacing w:before="120" w:after="120"/>
      </w:pPr>
      <w:r>
        <w:rPr>
          <w:color w:val="BBBBBB"/>
          <w:sz w:val="14"/>
        </w:rPr>
        <w:t>━━━━━━━━━━━━━━━━━━━━━━━━━━━━━━━━━━━━━━━━━━━━━━━━━━━━━━━━━━━━━━━━━━━━━━━━━━━━━━━━━━━━━</w:t>
      </w:r>
    </w:p>
    <w:p>
      <w:pPr>
        <w:spacing w:before="320" w:after="60"/>
      </w:pPr>
      <w:r>
        <w:rPr>
          <w:b/>
          <w:color w:val="0B1D51"/>
          <w:sz w:val="28"/>
          <w:u w:val="single"/>
        </w:rPr>
        <w:t>Section 4: Budget Proposal</w:t>
      </w:r>
    </w:p>
    <w:p>
      <w:pPr>
        <w:spacing w:before="20" w:after="80"/>
      </w:pPr>
      <w:r>
        <w:rPr>
          <w:color w:val="1A1A2E"/>
          <w:sz w:val="21"/>
        </w:rPr>
        <w:t>Total Grant Requested: Rs. 65,00,000 (Rs. 65 Lakhs). This is a realistic, project-need-driven budget and does not seek to maximize the Rs. 80 Lakh cap. All budget heads strictly comply with SCIDIP program guidelines. No equipment already available at IIT Delhi CRF incubator is listed under Equipment. All IIT Delhi CRF lab access is accounted for under Outsourcing, as per program norms.</w:t>
      </w:r>
    </w:p>
    <w:p>
      <w:pPr>
        <w:spacing w:before="160" w:after="40"/>
      </w:pPr>
      <w:r>
        <w:rPr>
          <w:b/>
          <w:color w:val="1B4832"/>
          <w:sz w:val="24"/>
        </w:rPr>
        <w:t>4.1 Detailed Budget Breakdown by Head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B1D51"/>
          </w:tcPr>
          <w:p>
            <w:r>
              <w:rPr>
                <w:b/>
                <w:color w:val="FFFFFF"/>
                <w:sz w:val="20"/>
              </w:rPr>
              <w:t>Budget Head</w:t>
            </w:r>
          </w:p>
        </w:tc>
        <w:tc>
          <w:tcPr>
            <w:tcW w:type="dxa" w:w="3135"/>
            <w:shd w:val="clear" w:color="auto" w:fill="0B1D51"/>
          </w:tcPr>
          <w:p>
            <w:r>
              <w:rPr>
                <w:b/>
                <w:color w:val="FFFFFF"/>
                <w:sz w:val="20"/>
              </w:rPr>
              <w:t>Item / Justification</w:t>
            </w:r>
          </w:p>
        </w:tc>
        <w:tc>
          <w:tcPr>
            <w:tcW w:type="dxa" w:w="3135"/>
            <w:shd w:val="clear" w:color="auto" w:fill="0B1D51"/>
          </w:tcPr>
          <w:p>
            <w:r>
              <w:rPr>
                <w:b/>
                <w:color w:val="FFFFFF"/>
                <w:sz w:val="20"/>
              </w:rPr>
              <w:t>Amount (Rs. Lakhs)</w:t>
            </w:r>
          </w:p>
        </w:tc>
      </w:tr>
      <w:tr>
        <w:tc>
          <w:tcPr>
            <w:tcW w:type="dxa" w:w="3135"/>
            <w:shd w:val="clear" w:color="auto" w:fill="ECF0F1"/>
          </w:tcPr>
          <w:p>
            <w:r>
              <w:rPr>
                <w:color w:val="1A1A2E"/>
                <w:sz w:val="20"/>
              </w:rPr>
              <w:t>EQUIPMENT</w:t>
              <w:br/>
              <w:t>(Max 25%)</w:t>
            </w:r>
          </w:p>
        </w:tc>
        <w:tc>
          <w:tcPr>
            <w:tcW w:type="dxa" w:w="3135"/>
            <w:shd w:val="clear" w:color="auto" w:fill="ECF0F1"/>
          </w:tcPr>
          <w:p>
            <w:r>
              <w:rPr>
                <w:color w:val="1A1A2E"/>
                <w:sz w:val="20"/>
              </w:rPr>
              <w:t>Powder handling inert atmosphere glove box system — required for safe handling of reactive Ta, Hf, Zr refractory powders. Not available at FITT incubator. Justification: Refractory metal powders are pyrophoric and require inert-atmosphere processing unavailable in standard labs.</w:t>
            </w:r>
          </w:p>
        </w:tc>
        <w:tc>
          <w:tcPr>
            <w:tcW w:type="dxa" w:w="3135"/>
            <w:shd w:val="clear" w:color="auto" w:fill="ECF0F1"/>
          </w:tcPr>
          <w:p>
            <w:r>
              <w:rPr>
                <w:color w:val="1A1A2E"/>
                <w:sz w:val="20"/>
              </w:rPr>
              <w:t>5.00</w:t>
            </w:r>
          </w:p>
        </w:tc>
      </w:tr>
      <w:tr>
        <w:tc>
          <w:tcPr>
            <w:tcW w:type="dxa" w:w="3135"/>
            <w:shd w:val="clear" w:color="auto" w:fill="FFFFFF"/>
          </w:tcPr>
          <w:p>
            <w:r>
              <w:rPr>
                <w:color w:val="1A1A2E"/>
                <w:sz w:val="20"/>
              </w:rPr>
              <w:t>EQUIPMENT</w:t>
            </w:r>
          </w:p>
        </w:tc>
        <w:tc>
          <w:tcPr>
            <w:tcW w:type="dxa" w:w="3135"/>
            <w:shd w:val="clear" w:color="auto" w:fill="FFFFFF"/>
          </w:tcPr>
          <w:p>
            <w:r>
              <w:rPr>
                <w:color w:val="1A1A2E"/>
                <w:sz w:val="20"/>
              </w:rPr>
              <w:t>High-resolution thermocouple arrays + data acquisition system for in-situ thermal gradient monitoring during LENS deposition runs. Justification: Real-time thermal profile is critical for layer-by-layer gradient accuracy control.</w:t>
            </w:r>
          </w:p>
        </w:tc>
        <w:tc>
          <w:tcPr>
            <w:tcW w:type="dxa" w:w="3135"/>
            <w:shd w:val="clear" w:color="auto" w:fill="FFFFFF"/>
          </w:tcPr>
          <w:p>
            <w:r>
              <w:rPr>
                <w:color w:val="1A1A2E"/>
                <w:sz w:val="20"/>
              </w:rPr>
              <w:t>3.00</w:t>
            </w:r>
          </w:p>
        </w:tc>
      </w:tr>
      <w:tr>
        <w:tc>
          <w:tcPr>
            <w:tcW w:type="dxa" w:w="3135"/>
            <w:shd w:val="clear" w:color="auto" w:fill="ECF0F1"/>
          </w:tcPr>
          <w:p>
            <w:r>
              <w:rPr>
                <w:color w:val="1A1A2E"/>
                <w:sz w:val="20"/>
              </w:rPr>
            </w:r>
          </w:p>
        </w:tc>
        <w:tc>
          <w:tcPr>
            <w:tcW w:type="dxa" w:w="3135"/>
            <w:shd w:val="clear" w:color="auto" w:fill="ECF0F1"/>
          </w:tcPr>
          <w:p>
            <w:r>
              <w:rPr>
                <w:color w:val="1A1A2E"/>
                <w:sz w:val="20"/>
              </w:rPr>
              <w:t>Equipment Subtotal</w:t>
            </w:r>
          </w:p>
        </w:tc>
        <w:tc>
          <w:tcPr>
            <w:tcW w:type="dxa" w:w="3135"/>
            <w:shd w:val="clear" w:color="auto" w:fill="ECF0F1"/>
          </w:tcPr>
          <w:p>
            <w:r>
              <w:rPr>
                <w:color w:val="1A1A2E"/>
                <w:sz w:val="20"/>
              </w:rPr>
              <w:t>8.00</w:t>
            </w:r>
          </w:p>
        </w:tc>
      </w:tr>
      <w:tr>
        <w:tc>
          <w:tcPr>
            <w:tcW w:type="dxa" w:w="3135"/>
            <w:shd w:val="clear" w:color="auto" w:fill="FFFFFF"/>
          </w:tcPr>
          <w:p>
            <w:r>
              <w:rPr>
                <w:color w:val="1A1A2E"/>
                <w:sz w:val="20"/>
              </w:rPr>
              <w:t>HUMAN RESOURCES</w:t>
              <w:br/>
              <w:t>(Max 30%)</w:t>
            </w:r>
          </w:p>
        </w:tc>
        <w:tc>
          <w:tcPr>
            <w:tcW w:type="dxa" w:w="3135"/>
            <w:shd w:val="clear" w:color="auto" w:fill="FFFFFF"/>
          </w:tcPr>
          <w:p>
            <w:r>
              <w:rPr>
                <w:color w:val="1A1A2E"/>
                <w:sz w:val="20"/>
              </w:rPr>
              <w:t>Materials Science PhD Research Associate — leads physical lab operations, coordinates IIT Delhi CRF access, oversees coupon fabrication and characterization. Rate: Rs. 40,000/month x 20 months.</w:t>
            </w:r>
          </w:p>
        </w:tc>
        <w:tc>
          <w:tcPr>
            <w:tcW w:type="dxa" w:w="3135"/>
            <w:shd w:val="clear" w:color="auto" w:fill="FFFFFF"/>
          </w:tcPr>
          <w:p>
            <w:r>
              <w:rPr>
                <w:color w:val="1A1A2E"/>
                <w:sz w:val="20"/>
              </w:rPr>
              <w:t>8.00</w:t>
            </w:r>
          </w:p>
        </w:tc>
      </w:tr>
      <w:tr>
        <w:tc>
          <w:tcPr>
            <w:tcW w:type="dxa" w:w="3135"/>
            <w:shd w:val="clear" w:color="auto" w:fill="ECF0F1"/>
          </w:tcPr>
          <w:p>
            <w:r>
              <w:rPr>
                <w:color w:val="1A1A2E"/>
                <w:sz w:val="20"/>
              </w:rPr>
              <w:t>HUMAN RESOURCES</w:t>
            </w:r>
          </w:p>
        </w:tc>
        <w:tc>
          <w:tcPr>
            <w:tcW w:type="dxa" w:w="3135"/>
            <w:shd w:val="clear" w:color="auto" w:fill="ECF0F1"/>
          </w:tcPr>
          <w:p>
            <w:r>
              <w:rPr>
                <w:color w:val="1A1A2E"/>
                <w:sz w:val="20"/>
              </w:rPr>
              <w:t>AI / Computational Research Engineer — maintains ML pipeline, conducts Phase 1 extended FEniCS runs, generates updated surrogate predictions, closes digital twin feedback loop. Rate: Rs. 45,000/month x 20 months.</w:t>
            </w:r>
          </w:p>
        </w:tc>
        <w:tc>
          <w:tcPr>
            <w:tcW w:type="dxa" w:w="3135"/>
            <w:shd w:val="clear" w:color="auto" w:fill="ECF0F1"/>
          </w:tcPr>
          <w:p>
            <w:r>
              <w:rPr>
                <w:color w:val="1A1A2E"/>
                <w:sz w:val="20"/>
              </w:rPr>
              <w:t>9.00</w:t>
            </w:r>
          </w:p>
        </w:tc>
      </w:tr>
      <w:tr>
        <w:tc>
          <w:tcPr>
            <w:tcW w:type="dxa" w:w="3135"/>
            <w:shd w:val="clear" w:color="auto" w:fill="FFFFFF"/>
          </w:tcPr>
          <w:p>
            <w:r>
              <w:rPr>
                <w:color w:val="1A1A2E"/>
                <w:sz w:val="20"/>
              </w:rPr>
            </w:r>
          </w:p>
        </w:tc>
        <w:tc>
          <w:tcPr>
            <w:tcW w:type="dxa" w:w="3135"/>
            <w:shd w:val="clear" w:color="auto" w:fill="FFFFFF"/>
          </w:tcPr>
          <w:p>
            <w:r>
              <w:rPr>
                <w:color w:val="1A1A2E"/>
                <w:sz w:val="20"/>
              </w:rPr>
              <w:t>HR Subtotal</w:t>
            </w:r>
          </w:p>
        </w:tc>
        <w:tc>
          <w:tcPr>
            <w:tcW w:type="dxa" w:w="3135"/>
            <w:shd w:val="clear" w:color="auto" w:fill="FFFFFF"/>
          </w:tcPr>
          <w:p>
            <w:r>
              <w:rPr>
                <w:color w:val="1A1A2E"/>
                <w:sz w:val="20"/>
              </w:rPr>
              <w:t>17.00</w:t>
            </w:r>
          </w:p>
        </w:tc>
      </w:tr>
      <w:tr>
        <w:tc>
          <w:tcPr>
            <w:tcW w:type="dxa" w:w="3135"/>
            <w:shd w:val="clear" w:color="auto" w:fill="ECF0F1"/>
          </w:tcPr>
          <w:p>
            <w:r>
              <w:rPr>
                <w:color w:val="1A1A2E"/>
                <w:sz w:val="20"/>
              </w:rPr>
              <w:t>CONSUMABLES</w:t>
            </w:r>
          </w:p>
        </w:tc>
        <w:tc>
          <w:tcPr>
            <w:tcW w:type="dxa" w:w="3135"/>
            <w:shd w:val="clear" w:color="auto" w:fill="ECF0F1"/>
          </w:tcPr>
          <w:p>
            <w:r>
              <w:rPr>
                <w:color w:val="1A1A2E"/>
                <w:sz w:val="20"/>
              </w:rPr>
              <w:t>High-purity refractory elemental powders: Ta (99.9%), W (99.9%), Cr (99.9%), V (99.9%), Ti (99.9%), Hf (99.9%), Zr (99.9%), Nb (99.9%) — for 5-8 witness coupon fabrication runs + spares. Justification: Refractory metal powders at 99.9% purity are critical for single-phase BCC formation; impurities trigger sigma-phase.</w:t>
            </w:r>
          </w:p>
        </w:tc>
        <w:tc>
          <w:tcPr>
            <w:tcW w:type="dxa" w:w="3135"/>
            <w:shd w:val="clear" w:color="auto" w:fill="ECF0F1"/>
          </w:tcPr>
          <w:p>
            <w:r>
              <w:rPr>
                <w:color w:val="1A1A2E"/>
                <w:sz w:val="20"/>
              </w:rPr>
              <w:t>10.00</w:t>
            </w:r>
          </w:p>
        </w:tc>
      </w:tr>
      <w:tr>
        <w:tc>
          <w:tcPr>
            <w:tcW w:type="dxa" w:w="3135"/>
            <w:shd w:val="clear" w:color="auto" w:fill="FFFFFF"/>
          </w:tcPr>
          <w:p>
            <w:r>
              <w:rPr>
                <w:color w:val="1A1A2E"/>
                <w:sz w:val="20"/>
              </w:rPr>
              <w:t>CONSUMABLES</w:t>
            </w:r>
          </w:p>
        </w:tc>
        <w:tc>
          <w:tcPr>
            <w:tcW w:type="dxa" w:w="3135"/>
            <w:shd w:val="clear" w:color="auto" w:fill="FFFFFF"/>
          </w:tcPr>
          <w:p>
            <w:r>
              <w:rPr>
                <w:color w:val="1A1A2E"/>
                <w:sz w:val="20"/>
              </w:rPr>
              <w:t>LZO (La2Zr2O7) ceramic powder — for 11-layer FGM ceramic-end layers. CMAS-resistant ceramic phase critical to thermal barrier performance.</w:t>
            </w:r>
          </w:p>
        </w:tc>
        <w:tc>
          <w:tcPr>
            <w:tcW w:type="dxa" w:w="3135"/>
            <w:shd w:val="clear" w:color="auto" w:fill="FFFFFF"/>
          </w:tcPr>
          <w:p>
            <w:r>
              <w:rPr>
                <w:color w:val="1A1A2E"/>
                <w:sz w:val="20"/>
              </w:rPr>
              <w:t>2.00</w:t>
            </w:r>
          </w:p>
        </w:tc>
      </w:tr>
      <w:tr>
        <w:tc>
          <w:tcPr>
            <w:tcW w:type="dxa" w:w="3135"/>
            <w:shd w:val="clear" w:color="auto" w:fill="ECF0F1"/>
          </w:tcPr>
          <w:p>
            <w:r>
              <w:rPr>
                <w:color w:val="1A1A2E"/>
                <w:sz w:val="20"/>
              </w:rPr>
              <w:t>CONSUMABLES</w:t>
            </w:r>
          </w:p>
        </w:tc>
        <w:tc>
          <w:tcPr>
            <w:tcW w:type="dxa" w:w="3135"/>
            <w:shd w:val="clear" w:color="auto" w:fill="ECF0F1"/>
          </w:tcPr>
          <w:p>
            <w:r>
              <w:rPr>
                <w:color w:val="1A1A2E"/>
                <w:sz w:val="20"/>
              </w:rPr>
              <w:t>Argon/vacuum process gases, solvents, crucibles, PPE consumables, general lab supplies for 20-month experimental program</w:t>
            </w:r>
          </w:p>
        </w:tc>
        <w:tc>
          <w:tcPr>
            <w:tcW w:type="dxa" w:w="3135"/>
            <w:shd w:val="clear" w:color="auto" w:fill="ECF0F1"/>
          </w:tcPr>
          <w:p>
            <w:r>
              <w:rPr>
                <w:color w:val="1A1A2E"/>
                <w:sz w:val="20"/>
              </w:rPr>
              <w:t>2.00</w:t>
            </w:r>
          </w:p>
        </w:tc>
      </w:tr>
      <w:tr>
        <w:tc>
          <w:tcPr>
            <w:tcW w:type="dxa" w:w="3135"/>
            <w:shd w:val="clear" w:color="auto" w:fill="FFFFFF"/>
          </w:tcPr>
          <w:p>
            <w:r>
              <w:rPr>
                <w:color w:val="1A1A2E"/>
                <w:sz w:val="20"/>
              </w:rPr>
            </w:r>
          </w:p>
        </w:tc>
        <w:tc>
          <w:tcPr>
            <w:tcW w:type="dxa" w:w="3135"/>
            <w:shd w:val="clear" w:color="auto" w:fill="FFFFFF"/>
          </w:tcPr>
          <w:p>
            <w:r>
              <w:rPr>
                <w:color w:val="1A1A2E"/>
                <w:sz w:val="20"/>
              </w:rPr>
              <w:t>Consumables Subtotal</w:t>
            </w:r>
          </w:p>
        </w:tc>
        <w:tc>
          <w:tcPr>
            <w:tcW w:type="dxa" w:w="3135"/>
            <w:shd w:val="clear" w:color="auto" w:fill="FFFFFF"/>
          </w:tcPr>
          <w:p>
            <w:r>
              <w:rPr>
                <w:color w:val="1A1A2E"/>
                <w:sz w:val="20"/>
              </w:rPr>
              <w:t>14.00</w:t>
            </w:r>
          </w:p>
        </w:tc>
      </w:tr>
      <w:tr>
        <w:tc>
          <w:tcPr>
            <w:tcW w:type="dxa" w:w="3135"/>
            <w:shd w:val="clear" w:color="auto" w:fill="ECF0F1"/>
          </w:tcPr>
          <w:p>
            <w:r>
              <w:rPr>
                <w:color w:val="1A1A2E"/>
                <w:sz w:val="20"/>
              </w:rPr>
              <w:t>OUTSOURCING</w:t>
              <w:br/>
              <w:t>(Max 30%)</w:t>
            </w:r>
          </w:p>
        </w:tc>
        <w:tc>
          <w:tcPr>
            <w:tcW w:type="dxa" w:w="3135"/>
            <w:shd w:val="clear" w:color="auto" w:fill="ECF0F1"/>
          </w:tcPr>
          <w:p>
            <w:r>
              <w:rPr>
                <w:color w:val="1A1A2E"/>
                <w:sz w:val="20"/>
              </w:rPr>
              <w:t>LENS/DED multi-hopper additive manufacturing access — IIT Delhi CRF. Fabrication of 8 witness coupons using our 11-layer recipe. Justification: IIT Delhi CRF is the ONLY facility in India with multi-hopper LENS capability for refractory HEA powder systems.</w:t>
            </w:r>
          </w:p>
        </w:tc>
        <w:tc>
          <w:tcPr>
            <w:tcW w:type="dxa" w:w="3135"/>
            <w:shd w:val="clear" w:color="auto" w:fill="ECF0F1"/>
          </w:tcPr>
          <w:p>
            <w:r>
              <w:rPr>
                <w:color w:val="1A1A2E"/>
                <w:sz w:val="20"/>
              </w:rPr>
              <w:t>6.00</w:t>
            </w:r>
          </w:p>
        </w:tc>
      </w:tr>
      <w:tr>
        <w:tc>
          <w:tcPr>
            <w:tcW w:type="dxa" w:w="3135"/>
            <w:shd w:val="clear" w:color="auto" w:fill="FFFFFF"/>
          </w:tcPr>
          <w:p>
            <w:r>
              <w:rPr>
                <w:color w:val="1A1A2E"/>
                <w:sz w:val="20"/>
              </w:rPr>
              <w:t>OUTSOURCING</w:t>
            </w:r>
          </w:p>
        </w:tc>
        <w:tc>
          <w:tcPr>
            <w:tcW w:type="dxa" w:w="3135"/>
            <w:shd w:val="clear" w:color="auto" w:fill="FFFFFF"/>
          </w:tcPr>
          <w:p>
            <w:r>
              <w:rPr>
                <w:color w:val="1A1A2E"/>
                <w:sz w:val="20"/>
              </w:rPr>
              <w:t>STA (Simultaneous Thermal Analyzer at 1500°C) — IIT Delhi CRF. TGA oxidation mass gain measurements + DSC thermal stability across 300-1500°C. Multiple sample runs.</w:t>
            </w:r>
          </w:p>
        </w:tc>
        <w:tc>
          <w:tcPr>
            <w:tcW w:type="dxa" w:w="3135"/>
            <w:shd w:val="clear" w:color="auto" w:fill="FFFFFF"/>
          </w:tcPr>
          <w:p>
            <w:r>
              <w:rPr>
                <w:color w:val="1A1A2E"/>
                <w:sz w:val="20"/>
              </w:rPr>
              <w:t>3.50</w:t>
            </w:r>
          </w:p>
        </w:tc>
      </w:tr>
      <w:tr>
        <w:tc>
          <w:tcPr>
            <w:tcW w:type="dxa" w:w="3135"/>
            <w:shd w:val="clear" w:color="auto" w:fill="ECF0F1"/>
          </w:tcPr>
          <w:p>
            <w:r>
              <w:rPr>
                <w:color w:val="1A1A2E"/>
                <w:sz w:val="20"/>
              </w:rPr>
              <w:t>OUTSOURCING</w:t>
            </w:r>
          </w:p>
        </w:tc>
        <w:tc>
          <w:tcPr>
            <w:tcW w:type="dxa" w:w="3135"/>
            <w:shd w:val="clear" w:color="auto" w:fill="ECF0F1"/>
          </w:tcPr>
          <w:p>
            <w:r>
              <w:rPr>
                <w:color w:val="1A1A2E"/>
                <w:sz w:val="20"/>
              </w:rPr>
              <w:t>High-temperature XRD characterization — IIT Delhi CRF. Phase identification before/after 1000 thermal cycles. BCC vs sigma phase quantification at 873-1173K.</w:t>
            </w:r>
          </w:p>
        </w:tc>
        <w:tc>
          <w:tcPr>
            <w:tcW w:type="dxa" w:w="3135"/>
            <w:shd w:val="clear" w:color="auto" w:fill="ECF0F1"/>
          </w:tcPr>
          <w:p>
            <w:r>
              <w:rPr>
                <w:color w:val="1A1A2E"/>
                <w:sz w:val="20"/>
              </w:rPr>
              <w:t>2.00</w:t>
            </w:r>
          </w:p>
        </w:tc>
      </w:tr>
      <w:tr>
        <w:tc>
          <w:tcPr>
            <w:tcW w:type="dxa" w:w="3135"/>
            <w:shd w:val="clear" w:color="auto" w:fill="FFFFFF"/>
          </w:tcPr>
          <w:p>
            <w:r>
              <w:rPr>
                <w:color w:val="1A1A2E"/>
                <w:sz w:val="20"/>
              </w:rPr>
              <w:t>OUTSOURCING</w:t>
            </w:r>
          </w:p>
        </w:tc>
        <w:tc>
          <w:tcPr>
            <w:tcW w:type="dxa" w:w="3135"/>
            <w:shd w:val="clear" w:color="auto" w:fill="FFFFFF"/>
          </w:tcPr>
          <w:p>
            <w:r>
              <w:rPr>
                <w:color w:val="1A1A2E"/>
                <w:sz w:val="20"/>
              </w:rPr>
              <w:t>SEM/EDS microstructural analysis — IIT Delhi CRF. Layer-wise compositional mapping, void detection, post-cycling delamination analysis. Multiple sessions across Phases 2 and 3.</w:t>
            </w:r>
          </w:p>
        </w:tc>
        <w:tc>
          <w:tcPr>
            <w:tcW w:type="dxa" w:w="3135"/>
            <w:shd w:val="clear" w:color="auto" w:fill="FFFFFF"/>
          </w:tcPr>
          <w:p>
            <w:r>
              <w:rPr>
                <w:color w:val="1A1A2E"/>
                <w:sz w:val="20"/>
              </w:rPr>
              <w:t>2.50</w:t>
            </w:r>
          </w:p>
        </w:tc>
      </w:tr>
      <w:tr>
        <w:tc>
          <w:tcPr>
            <w:tcW w:type="dxa" w:w="3135"/>
            <w:shd w:val="clear" w:color="auto" w:fill="ECF0F1"/>
          </w:tcPr>
          <w:p>
            <w:r>
              <w:rPr>
                <w:color w:val="1A1A2E"/>
                <w:sz w:val="20"/>
              </w:rPr>
              <w:t>OUTSOURCING</w:t>
            </w:r>
          </w:p>
        </w:tc>
        <w:tc>
          <w:tcPr>
            <w:tcW w:type="dxa" w:w="3135"/>
            <w:shd w:val="clear" w:color="auto" w:fill="ECF0F1"/>
          </w:tcPr>
          <w:p>
            <w:r>
              <w:rPr>
                <w:color w:val="1A1A2E"/>
                <w:sz w:val="20"/>
              </w:rPr>
              <w:t>High-temperature tube furnace thermal cycling (1600°C) — IIT Delhi CRF. 1000 automated thermal shock cycles at 1400°C. Burner rig simulation at 1600°C.</w:t>
            </w:r>
          </w:p>
        </w:tc>
        <w:tc>
          <w:tcPr>
            <w:tcW w:type="dxa" w:w="3135"/>
            <w:shd w:val="clear" w:color="auto" w:fill="ECF0F1"/>
          </w:tcPr>
          <w:p>
            <w:r>
              <w:rPr>
                <w:color w:val="1A1A2E"/>
                <w:sz w:val="20"/>
              </w:rPr>
              <w:t>3.00</w:t>
            </w:r>
          </w:p>
        </w:tc>
      </w:tr>
      <w:tr>
        <w:tc>
          <w:tcPr>
            <w:tcW w:type="dxa" w:w="3135"/>
            <w:shd w:val="clear" w:color="auto" w:fill="FFFFFF"/>
          </w:tcPr>
          <w:p>
            <w:r>
              <w:rPr>
                <w:color w:val="1A1A2E"/>
                <w:sz w:val="20"/>
              </w:rPr>
              <w:t>OUTSOURCING</w:t>
            </w:r>
          </w:p>
        </w:tc>
        <w:tc>
          <w:tcPr>
            <w:tcW w:type="dxa" w:w="3135"/>
            <w:shd w:val="clear" w:color="auto" w:fill="FFFFFF"/>
          </w:tcPr>
          <w:p>
            <w:r>
              <w:rPr>
                <w:color w:val="1A1A2E"/>
                <w:sz w:val="20"/>
              </w:rPr>
              <w:t>HPC cloud compute (AWS/GCP) for Phase 1 extended 3D FEniCS FEA runs and MACE-MD 20,000-atom supercell simulations. Justification: IIT Delhi HPC access supplements but does not fully cover multi-day cloud-scale FEA jobs.</w:t>
            </w:r>
          </w:p>
        </w:tc>
        <w:tc>
          <w:tcPr>
            <w:tcW w:type="dxa" w:w="3135"/>
            <w:shd w:val="clear" w:color="auto" w:fill="FFFFFF"/>
          </w:tcPr>
          <w:p>
            <w:r>
              <w:rPr>
                <w:color w:val="1A1A2E"/>
                <w:sz w:val="20"/>
              </w:rPr>
              <w:t>2.00</w:t>
            </w:r>
          </w:p>
        </w:tc>
      </w:tr>
      <w:tr>
        <w:tc>
          <w:tcPr>
            <w:tcW w:type="dxa" w:w="3135"/>
            <w:shd w:val="clear" w:color="auto" w:fill="ECF0F1"/>
          </w:tcPr>
          <w:p>
            <w:r>
              <w:rPr>
                <w:color w:val="1A1A2E"/>
                <w:sz w:val="20"/>
              </w:rPr>
            </w:r>
          </w:p>
        </w:tc>
        <w:tc>
          <w:tcPr>
            <w:tcW w:type="dxa" w:w="3135"/>
            <w:shd w:val="clear" w:color="auto" w:fill="ECF0F1"/>
          </w:tcPr>
          <w:p>
            <w:r>
              <w:rPr>
                <w:color w:val="1A1A2E"/>
                <w:sz w:val="20"/>
              </w:rPr>
              <w:t>Outsourcing Subtotal</w:t>
            </w:r>
          </w:p>
        </w:tc>
        <w:tc>
          <w:tcPr>
            <w:tcW w:type="dxa" w:w="3135"/>
            <w:shd w:val="clear" w:color="auto" w:fill="ECF0F1"/>
          </w:tcPr>
          <w:p>
            <w:r>
              <w:rPr>
                <w:color w:val="1A1A2E"/>
                <w:sz w:val="20"/>
              </w:rPr>
              <w:t>19.00</w:t>
            </w:r>
          </w:p>
        </w:tc>
      </w:tr>
      <w:tr>
        <w:tc>
          <w:tcPr>
            <w:tcW w:type="dxa" w:w="3135"/>
            <w:shd w:val="clear" w:color="auto" w:fill="FFFFFF"/>
          </w:tcPr>
          <w:p>
            <w:r>
              <w:rPr>
                <w:color w:val="1A1A2E"/>
                <w:sz w:val="20"/>
              </w:rPr>
              <w:t>PATENT FILING</w:t>
              <w:br/>
              <w:t>(Max Rs. 3L)</w:t>
            </w:r>
          </w:p>
        </w:tc>
        <w:tc>
          <w:tcPr>
            <w:tcW w:type="dxa" w:w="3135"/>
            <w:shd w:val="clear" w:color="auto" w:fill="FFFFFF"/>
          </w:tcPr>
          <w:p>
            <w:r>
              <w:rPr>
                <w:color w:val="1A1A2E"/>
                <w:sz w:val="20"/>
              </w:rPr>
              <w:t>Additional Indian Patent filing covering the optimized top candidate exact composition and LENS process parameters. PCT international filing initiation.</w:t>
            </w:r>
          </w:p>
        </w:tc>
        <w:tc>
          <w:tcPr>
            <w:tcW w:type="dxa" w:w="3135"/>
            <w:shd w:val="clear" w:color="auto" w:fill="FFFFFF"/>
          </w:tcPr>
          <w:p>
            <w:r>
              <w:rPr>
                <w:color w:val="1A1A2E"/>
                <w:sz w:val="20"/>
              </w:rPr>
              <w:t>3.00</w:t>
            </w:r>
          </w:p>
        </w:tc>
      </w:tr>
      <w:tr>
        <w:tc>
          <w:tcPr>
            <w:tcW w:type="dxa" w:w="3135"/>
            <w:shd w:val="clear" w:color="auto" w:fill="ECF0F1"/>
          </w:tcPr>
          <w:p>
            <w:r>
              <w:rPr>
                <w:color w:val="1A1A2E"/>
                <w:sz w:val="20"/>
              </w:rPr>
              <w:t>CONTINGENCY</w:t>
              <w:br/>
              <w:t>(Max 7.5%)</w:t>
            </w:r>
          </w:p>
        </w:tc>
        <w:tc>
          <w:tcPr>
            <w:tcW w:type="dxa" w:w="3135"/>
            <w:shd w:val="clear" w:color="auto" w:fill="ECF0F1"/>
          </w:tcPr>
          <w:p>
            <w:r>
              <w:rPr>
                <w:color w:val="1A1A2E"/>
                <w:sz w:val="20"/>
              </w:rPr>
              <w:t>Project-related travel within India (Hyderabad to IIT Delhi for lab sessions, Sona Comstar meetings, SCIDIP reviews). Miscellaneous bona fide project expenses.</w:t>
            </w:r>
          </w:p>
        </w:tc>
        <w:tc>
          <w:tcPr>
            <w:tcW w:type="dxa" w:w="3135"/>
            <w:shd w:val="clear" w:color="auto" w:fill="ECF0F1"/>
          </w:tcPr>
          <w:p>
            <w:r>
              <w:rPr>
                <w:color w:val="1A1A2E"/>
                <w:sz w:val="20"/>
              </w:rPr>
              <w:t>4.00</w:t>
            </w:r>
          </w:p>
        </w:tc>
      </w:tr>
      <w:tr>
        <w:tc>
          <w:tcPr>
            <w:tcW w:type="dxa" w:w="3135"/>
            <w:shd w:val="clear" w:color="auto" w:fill="FFFFFF"/>
          </w:tcPr>
          <w:p>
            <w:r>
              <w:rPr>
                <w:color w:val="1A1A2E"/>
                <w:sz w:val="20"/>
              </w:rPr>
            </w:r>
          </w:p>
        </w:tc>
        <w:tc>
          <w:tcPr>
            <w:tcW w:type="dxa" w:w="3135"/>
            <w:shd w:val="clear" w:color="auto" w:fill="FFFFFF"/>
          </w:tcPr>
          <w:p>
            <w:r>
              <w:rPr>
                <w:color w:val="1A1A2E"/>
                <w:sz w:val="20"/>
              </w:rPr>
              <w:t>★ TOTAL GRANT REQUESTED</w:t>
            </w:r>
          </w:p>
        </w:tc>
        <w:tc>
          <w:tcPr>
            <w:tcW w:type="dxa" w:w="3135"/>
            <w:shd w:val="clear" w:color="auto" w:fill="FFFFFF"/>
          </w:tcPr>
          <w:p>
            <w:r>
              <w:rPr>
                <w:color w:val="1A1A2E"/>
                <w:sz w:val="20"/>
              </w:rPr>
              <w:t>65.00</w:t>
            </w:r>
          </w:p>
        </w:tc>
      </w:tr>
    </w:tbl>
    <w:p/>
    <w:p>
      <w:pPr>
        <w:spacing w:before="160" w:after="40"/>
      </w:pPr>
      <w:r>
        <w:rPr>
          <w:b/>
          <w:color w:val="1B4832"/>
          <w:sz w:val="24"/>
        </w:rPr>
        <w:t>4.2 Budget Compliance Summary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B1D51"/>
          </w:tcPr>
          <w:p>
            <w:r>
              <w:rPr>
                <w:b/>
                <w:color w:val="FFFFFF"/>
                <w:sz w:val="20"/>
              </w:rPr>
              <w:t>Budget Head</w:t>
            </w:r>
          </w:p>
        </w:tc>
        <w:tc>
          <w:tcPr>
            <w:tcW w:type="dxa" w:w="1881"/>
            <w:shd w:val="clear" w:color="auto" w:fill="0B1D51"/>
          </w:tcPr>
          <w:p>
            <w:r>
              <w:rPr>
                <w:b/>
                <w:color w:val="FFFFFF"/>
                <w:sz w:val="20"/>
              </w:rPr>
              <w:t>Amount (Rs. Lakhs)</w:t>
            </w:r>
          </w:p>
        </w:tc>
        <w:tc>
          <w:tcPr>
            <w:tcW w:type="dxa" w:w="1881"/>
            <w:shd w:val="clear" w:color="auto" w:fill="0B1D51"/>
          </w:tcPr>
          <w:p>
            <w:r>
              <w:rPr>
                <w:b/>
                <w:color w:val="FFFFFF"/>
                <w:sz w:val="20"/>
              </w:rPr>
              <w:t>% of Total (Rs. 65L)</w:t>
            </w:r>
          </w:p>
        </w:tc>
        <w:tc>
          <w:tcPr>
            <w:tcW w:type="dxa" w:w="1881"/>
            <w:shd w:val="clear" w:color="auto" w:fill="0B1D51"/>
          </w:tcPr>
          <w:p>
            <w:r>
              <w:rPr>
                <w:b/>
                <w:color w:val="FFFFFF"/>
                <w:sz w:val="20"/>
              </w:rPr>
              <w:t>Program Cap</w:t>
            </w:r>
          </w:p>
        </w:tc>
        <w:tc>
          <w:tcPr>
            <w:tcW w:type="dxa" w:w="1881"/>
            <w:shd w:val="clear" w:color="auto" w:fill="0B1D51"/>
          </w:tcPr>
          <w:p>
            <w:r>
              <w:rPr>
                <w:b/>
                <w:color w:val="FFFFFF"/>
                <w:sz w:val="20"/>
              </w:rPr>
              <w:t>Status</w:t>
            </w:r>
          </w:p>
        </w:tc>
      </w:tr>
      <w:tr>
        <w:tc>
          <w:tcPr>
            <w:tcW w:type="dxa" w:w="1881"/>
            <w:shd w:val="clear" w:color="auto" w:fill="ECF0F1"/>
          </w:tcPr>
          <w:p>
            <w:r>
              <w:rPr>
                <w:color w:val="1A1A2E"/>
                <w:sz w:val="20"/>
              </w:rPr>
              <w:t>Equipment</w:t>
            </w:r>
          </w:p>
        </w:tc>
        <w:tc>
          <w:tcPr>
            <w:tcW w:type="dxa" w:w="1881"/>
            <w:shd w:val="clear" w:color="auto" w:fill="ECF0F1"/>
          </w:tcPr>
          <w:p>
            <w:r>
              <w:rPr>
                <w:color w:val="1A1A2E"/>
                <w:sz w:val="20"/>
              </w:rPr>
              <w:t>8.00</w:t>
            </w:r>
          </w:p>
        </w:tc>
        <w:tc>
          <w:tcPr>
            <w:tcW w:type="dxa" w:w="1881"/>
            <w:shd w:val="clear" w:color="auto" w:fill="ECF0F1"/>
          </w:tcPr>
          <w:p>
            <w:r>
              <w:rPr>
                <w:color w:val="1A1A2E"/>
                <w:sz w:val="20"/>
              </w:rPr>
              <w:t>12.3%</w:t>
            </w:r>
          </w:p>
        </w:tc>
        <w:tc>
          <w:tcPr>
            <w:tcW w:type="dxa" w:w="1881"/>
            <w:shd w:val="clear" w:color="auto" w:fill="ECF0F1"/>
          </w:tcPr>
          <w:p>
            <w:r>
              <w:rPr>
                <w:color w:val="1A1A2E"/>
                <w:sz w:val="20"/>
              </w:rPr>
              <w:t>Max 25%</w:t>
            </w:r>
          </w:p>
        </w:tc>
        <w:tc>
          <w:tcPr>
            <w:tcW w:type="dxa" w:w="1881"/>
            <w:shd w:val="clear" w:color="auto" w:fill="ECF0F1"/>
          </w:tcPr>
          <w:p>
            <w:r>
              <w:rPr>
                <w:color w:val="1A1A2E"/>
                <w:sz w:val="20"/>
              </w:rPr>
              <w:t>COMPLIANT</w:t>
            </w:r>
          </w:p>
        </w:tc>
      </w:tr>
      <w:tr>
        <w:tc>
          <w:tcPr>
            <w:tcW w:type="dxa" w:w="1881"/>
            <w:shd w:val="clear" w:color="auto" w:fill="FFFFFF"/>
          </w:tcPr>
          <w:p>
            <w:r>
              <w:rPr>
                <w:color w:val="1A1A2E"/>
                <w:sz w:val="20"/>
              </w:rPr>
              <w:t>Human Resources</w:t>
            </w:r>
          </w:p>
        </w:tc>
        <w:tc>
          <w:tcPr>
            <w:tcW w:type="dxa" w:w="1881"/>
            <w:shd w:val="clear" w:color="auto" w:fill="FFFFFF"/>
          </w:tcPr>
          <w:p>
            <w:r>
              <w:rPr>
                <w:color w:val="1A1A2E"/>
                <w:sz w:val="20"/>
              </w:rPr>
              <w:t>17.00</w:t>
            </w:r>
          </w:p>
        </w:tc>
        <w:tc>
          <w:tcPr>
            <w:tcW w:type="dxa" w:w="1881"/>
            <w:shd w:val="clear" w:color="auto" w:fill="FFFFFF"/>
          </w:tcPr>
          <w:p>
            <w:r>
              <w:rPr>
                <w:color w:val="1A1A2E"/>
                <w:sz w:val="20"/>
              </w:rPr>
              <w:t>26.2%</w:t>
            </w:r>
          </w:p>
        </w:tc>
        <w:tc>
          <w:tcPr>
            <w:tcW w:type="dxa" w:w="1881"/>
            <w:shd w:val="clear" w:color="auto" w:fill="FFFFFF"/>
          </w:tcPr>
          <w:p>
            <w:r>
              <w:rPr>
                <w:color w:val="1A1A2E"/>
                <w:sz w:val="20"/>
              </w:rPr>
              <w:t>Max 30% | Max Rs.50K/person/month</w:t>
            </w:r>
          </w:p>
        </w:tc>
        <w:tc>
          <w:tcPr>
            <w:tcW w:type="dxa" w:w="1881"/>
            <w:shd w:val="clear" w:color="auto" w:fill="FFFFFF"/>
          </w:tcPr>
          <w:p>
            <w:r>
              <w:rPr>
                <w:color w:val="1A1A2E"/>
                <w:sz w:val="20"/>
              </w:rPr>
              <w:t>COMPLIANT</w:t>
            </w:r>
          </w:p>
        </w:tc>
      </w:tr>
      <w:tr>
        <w:tc>
          <w:tcPr>
            <w:tcW w:type="dxa" w:w="1881"/>
            <w:shd w:val="clear" w:color="auto" w:fill="ECF0F1"/>
          </w:tcPr>
          <w:p>
            <w:r>
              <w:rPr>
                <w:color w:val="1A1A2E"/>
                <w:sz w:val="20"/>
              </w:rPr>
              <w:t>Consumables</w:t>
            </w:r>
          </w:p>
        </w:tc>
        <w:tc>
          <w:tcPr>
            <w:tcW w:type="dxa" w:w="1881"/>
            <w:shd w:val="clear" w:color="auto" w:fill="ECF0F1"/>
          </w:tcPr>
          <w:p>
            <w:r>
              <w:rPr>
                <w:color w:val="1A1A2E"/>
                <w:sz w:val="20"/>
              </w:rPr>
              <w:t>14.00</w:t>
            </w:r>
          </w:p>
        </w:tc>
        <w:tc>
          <w:tcPr>
            <w:tcW w:type="dxa" w:w="1881"/>
            <w:shd w:val="clear" w:color="auto" w:fill="ECF0F1"/>
          </w:tcPr>
          <w:p>
            <w:r>
              <w:rPr>
                <w:color w:val="1A1A2E"/>
                <w:sz w:val="20"/>
              </w:rPr>
              <w:t>21.5%</w:t>
            </w:r>
          </w:p>
        </w:tc>
        <w:tc>
          <w:tcPr>
            <w:tcW w:type="dxa" w:w="1881"/>
            <w:shd w:val="clear" w:color="auto" w:fill="ECF0F1"/>
          </w:tcPr>
          <w:p>
            <w:r>
              <w:rPr>
                <w:color w:val="1A1A2E"/>
                <w:sz w:val="20"/>
              </w:rPr>
              <w:t>Flexible (justified)</w:t>
            </w:r>
          </w:p>
        </w:tc>
        <w:tc>
          <w:tcPr>
            <w:tcW w:type="dxa" w:w="1881"/>
            <w:shd w:val="clear" w:color="auto" w:fill="ECF0F1"/>
          </w:tcPr>
          <w:p>
            <w:r>
              <w:rPr>
                <w:color w:val="1A1A2E"/>
                <w:sz w:val="20"/>
              </w:rPr>
              <w:t>COMPLIANT</w:t>
            </w:r>
          </w:p>
        </w:tc>
      </w:tr>
      <w:tr>
        <w:tc>
          <w:tcPr>
            <w:tcW w:type="dxa" w:w="1881"/>
            <w:shd w:val="clear" w:color="auto" w:fill="FFFFFF"/>
          </w:tcPr>
          <w:p>
            <w:r>
              <w:rPr>
                <w:color w:val="1A1A2E"/>
                <w:sz w:val="20"/>
              </w:rPr>
              <w:t>Outsourcing</w:t>
            </w:r>
          </w:p>
        </w:tc>
        <w:tc>
          <w:tcPr>
            <w:tcW w:type="dxa" w:w="1881"/>
            <w:shd w:val="clear" w:color="auto" w:fill="FFFFFF"/>
          </w:tcPr>
          <w:p>
            <w:r>
              <w:rPr>
                <w:color w:val="1A1A2E"/>
                <w:sz w:val="20"/>
              </w:rPr>
              <w:t>19.00</w:t>
            </w:r>
          </w:p>
        </w:tc>
        <w:tc>
          <w:tcPr>
            <w:tcW w:type="dxa" w:w="1881"/>
            <w:shd w:val="clear" w:color="auto" w:fill="FFFFFF"/>
          </w:tcPr>
          <w:p>
            <w:r>
              <w:rPr>
                <w:color w:val="1A1A2E"/>
                <w:sz w:val="20"/>
              </w:rPr>
              <w:t>29.2%</w:t>
            </w:r>
          </w:p>
        </w:tc>
        <w:tc>
          <w:tcPr>
            <w:tcW w:type="dxa" w:w="1881"/>
            <w:shd w:val="clear" w:color="auto" w:fill="FFFFFF"/>
          </w:tcPr>
          <w:p>
            <w:r>
              <w:rPr>
                <w:color w:val="1A1A2E"/>
                <w:sz w:val="20"/>
              </w:rPr>
              <w:t>Max 30%</w:t>
            </w:r>
          </w:p>
        </w:tc>
        <w:tc>
          <w:tcPr>
            <w:tcW w:type="dxa" w:w="1881"/>
            <w:shd w:val="clear" w:color="auto" w:fill="FFFFFF"/>
          </w:tcPr>
          <w:p>
            <w:r>
              <w:rPr>
                <w:color w:val="1A1A2E"/>
                <w:sz w:val="20"/>
              </w:rPr>
              <w:t>COMPLIANT</w:t>
            </w:r>
          </w:p>
        </w:tc>
      </w:tr>
      <w:tr>
        <w:tc>
          <w:tcPr>
            <w:tcW w:type="dxa" w:w="1881"/>
            <w:shd w:val="clear" w:color="auto" w:fill="ECF0F1"/>
          </w:tcPr>
          <w:p>
            <w:r>
              <w:rPr>
                <w:color w:val="1A1A2E"/>
                <w:sz w:val="20"/>
              </w:rPr>
              <w:t>Patent Filing</w:t>
            </w:r>
          </w:p>
        </w:tc>
        <w:tc>
          <w:tcPr>
            <w:tcW w:type="dxa" w:w="1881"/>
            <w:shd w:val="clear" w:color="auto" w:fill="ECF0F1"/>
          </w:tcPr>
          <w:p>
            <w:r>
              <w:rPr>
                <w:color w:val="1A1A2E"/>
                <w:sz w:val="20"/>
              </w:rPr>
              <w:t>3.00</w:t>
            </w:r>
          </w:p>
        </w:tc>
        <w:tc>
          <w:tcPr>
            <w:tcW w:type="dxa" w:w="1881"/>
            <w:shd w:val="clear" w:color="auto" w:fill="ECF0F1"/>
          </w:tcPr>
          <w:p>
            <w:r>
              <w:rPr>
                <w:color w:val="1A1A2E"/>
                <w:sz w:val="20"/>
              </w:rPr>
              <w:t>4.6%</w:t>
            </w:r>
          </w:p>
        </w:tc>
        <w:tc>
          <w:tcPr>
            <w:tcW w:type="dxa" w:w="1881"/>
            <w:shd w:val="clear" w:color="auto" w:fill="ECF0F1"/>
          </w:tcPr>
          <w:p>
            <w:r>
              <w:rPr>
                <w:color w:val="1A1A2E"/>
                <w:sz w:val="20"/>
              </w:rPr>
              <w:t>Max Rs. 3 Lakhs</w:t>
            </w:r>
          </w:p>
        </w:tc>
        <w:tc>
          <w:tcPr>
            <w:tcW w:type="dxa" w:w="1881"/>
            <w:shd w:val="clear" w:color="auto" w:fill="ECF0F1"/>
          </w:tcPr>
          <w:p>
            <w:r>
              <w:rPr>
                <w:color w:val="1A1A2E"/>
                <w:sz w:val="20"/>
              </w:rPr>
              <w:t>COMPLIANT</w:t>
            </w:r>
          </w:p>
        </w:tc>
      </w:tr>
      <w:tr>
        <w:tc>
          <w:tcPr>
            <w:tcW w:type="dxa" w:w="1881"/>
            <w:shd w:val="clear" w:color="auto" w:fill="FFFFFF"/>
          </w:tcPr>
          <w:p>
            <w:r>
              <w:rPr>
                <w:color w:val="1A1A2E"/>
                <w:sz w:val="20"/>
              </w:rPr>
              <w:t>Contingency</w:t>
            </w:r>
          </w:p>
        </w:tc>
        <w:tc>
          <w:tcPr>
            <w:tcW w:type="dxa" w:w="1881"/>
            <w:shd w:val="clear" w:color="auto" w:fill="FFFFFF"/>
          </w:tcPr>
          <w:p>
            <w:r>
              <w:rPr>
                <w:color w:val="1A1A2E"/>
                <w:sz w:val="20"/>
              </w:rPr>
              <w:t>4.00</w:t>
            </w:r>
          </w:p>
        </w:tc>
        <w:tc>
          <w:tcPr>
            <w:tcW w:type="dxa" w:w="1881"/>
            <w:shd w:val="clear" w:color="auto" w:fill="FFFFFF"/>
          </w:tcPr>
          <w:p>
            <w:r>
              <w:rPr>
                <w:color w:val="1A1A2E"/>
                <w:sz w:val="20"/>
              </w:rPr>
              <w:t>6.2%</w:t>
            </w:r>
          </w:p>
        </w:tc>
        <w:tc>
          <w:tcPr>
            <w:tcW w:type="dxa" w:w="1881"/>
            <w:shd w:val="clear" w:color="auto" w:fill="FFFFFF"/>
          </w:tcPr>
          <w:p>
            <w:r>
              <w:rPr>
                <w:color w:val="1A1A2E"/>
                <w:sz w:val="20"/>
              </w:rPr>
              <w:t>Max 7.5%</w:t>
            </w:r>
          </w:p>
        </w:tc>
        <w:tc>
          <w:tcPr>
            <w:tcW w:type="dxa" w:w="1881"/>
            <w:shd w:val="clear" w:color="auto" w:fill="FFFFFF"/>
          </w:tcPr>
          <w:p>
            <w:r>
              <w:rPr>
                <w:color w:val="1A1A2E"/>
                <w:sz w:val="20"/>
              </w:rPr>
              <w:t>COMPLIANT</w:t>
            </w:r>
          </w:p>
        </w:tc>
      </w:tr>
      <w:tr>
        <w:tc>
          <w:tcPr>
            <w:tcW w:type="dxa" w:w="1881"/>
            <w:shd w:val="clear" w:color="auto" w:fill="ECF0F1"/>
          </w:tcPr>
          <w:p>
            <w:r>
              <w:rPr>
                <w:color w:val="1A1A2E"/>
                <w:sz w:val="20"/>
              </w:rPr>
              <w:t>TOTAL</w:t>
            </w:r>
          </w:p>
        </w:tc>
        <w:tc>
          <w:tcPr>
            <w:tcW w:type="dxa" w:w="1881"/>
            <w:shd w:val="clear" w:color="auto" w:fill="ECF0F1"/>
          </w:tcPr>
          <w:p>
            <w:r>
              <w:rPr>
                <w:color w:val="1A1A2E"/>
                <w:sz w:val="20"/>
              </w:rPr>
              <w:t>65.00</w:t>
            </w:r>
          </w:p>
        </w:tc>
        <w:tc>
          <w:tcPr>
            <w:tcW w:type="dxa" w:w="1881"/>
            <w:shd w:val="clear" w:color="auto" w:fill="ECF0F1"/>
          </w:tcPr>
          <w:p>
            <w:r>
              <w:rPr>
                <w:color w:val="1A1A2E"/>
                <w:sz w:val="20"/>
              </w:rPr>
              <w:t>100%</w:t>
            </w:r>
          </w:p>
        </w:tc>
        <w:tc>
          <w:tcPr>
            <w:tcW w:type="dxa" w:w="1881"/>
            <w:shd w:val="clear" w:color="auto" w:fill="ECF0F1"/>
          </w:tcPr>
          <w:p>
            <w:r>
              <w:rPr>
                <w:color w:val="1A1A2E"/>
                <w:sz w:val="20"/>
              </w:rPr>
              <w:t>Max Rs. 80 Lakhs</w:t>
            </w:r>
          </w:p>
        </w:tc>
        <w:tc>
          <w:tcPr>
            <w:tcW w:type="dxa" w:w="1881"/>
            <w:shd w:val="clear" w:color="auto" w:fill="ECF0F1"/>
          </w:tcPr>
          <w:p>
            <w:r>
              <w:rPr>
                <w:color w:val="1A1A2E"/>
                <w:sz w:val="20"/>
              </w:rPr>
              <w:t>COMPLIANT</w:t>
            </w:r>
          </w:p>
        </w:tc>
      </w:tr>
    </w:tbl>
    <w:p/>
    <w:p>
      <w:pPr>
        <w:spacing w:before="160" w:after="40"/>
      </w:pPr>
      <w:r>
        <w:rPr>
          <w:b/>
          <w:color w:val="1B4832"/>
          <w:sz w:val="24"/>
        </w:rPr>
        <w:t>4.3 Funding Tranche Release Schedule</w:t>
      </w:r>
    </w:p>
    <w:p>
      <w:pPr>
        <w:spacing w:before="20" w:after="80"/>
      </w:pPr>
      <w:r>
        <w:rPr>
          <w:color w:val="1A1A2E"/>
          <w:sz w:val="21"/>
        </w:rPr>
        <w:t>As per SCIDIP program norms, grant disbursement is milestone-linked across 5 tranches: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B1D51"/>
          </w:tcPr>
          <w:p>
            <w:r>
              <w:rPr>
                <w:b/>
                <w:color w:val="FFFFFF"/>
                <w:sz w:val="20"/>
              </w:rPr>
              <w:t>Tranche</w:t>
            </w:r>
          </w:p>
        </w:tc>
        <w:tc>
          <w:tcPr>
            <w:tcW w:type="dxa" w:w="2351"/>
            <w:shd w:val="clear" w:color="auto" w:fill="0B1D51"/>
          </w:tcPr>
          <w:p>
            <w:r>
              <w:rPr>
                <w:b/>
                <w:color w:val="FFFFFF"/>
                <w:sz w:val="20"/>
              </w:rPr>
              <w:t>Released At</w:t>
            </w:r>
          </w:p>
        </w:tc>
        <w:tc>
          <w:tcPr>
            <w:tcW w:type="dxa" w:w="2351"/>
            <w:shd w:val="clear" w:color="auto" w:fill="0B1D51"/>
          </w:tcPr>
          <w:p>
            <w:r>
              <w:rPr>
                <w:b/>
                <w:color w:val="FFFFFF"/>
                <w:sz w:val="20"/>
              </w:rPr>
              <w:t>% of Budget</w:t>
            </w:r>
          </w:p>
        </w:tc>
        <w:tc>
          <w:tcPr>
            <w:tcW w:type="dxa" w:w="2351"/>
            <w:shd w:val="clear" w:color="auto" w:fill="0B1D51"/>
          </w:tcPr>
          <w:p>
            <w:r>
              <w:rPr>
                <w:b/>
                <w:color w:val="FFFFFF"/>
                <w:sz w:val="20"/>
              </w:rPr>
              <w:t>Amount (Rs. Lakhs)</w:t>
            </w:r>
          </w:p>
        </w:tc>
      </w:tr>
      <w:tr>
        <w:tc>
          <w:tcPr>
            <w:tcW w:type="dxa" w:w="2351"/>
            <w:shd w:val="clear" w:color="auto" w:fill="ECF0F1"/>
          </w:tcPr>
          <w:p>
            <w:r>
              <w:rPr>
                <w:color w:val="1A1A2E"/>
                <w:sz w:val="20"/>
              </w:rPr>
              <w:t>1st</w:t>
            </w:r>
          </w:p>
        </w:tc>
        <w:tc>
          <w:tcPr>
            <w:tcW w:type="dxa" w:w="2351"/>
            <w:shd w:val="clear" w:color="auto" w:fill="ECF0F1"/>
          </w:tcPr>
          <w:p>
            <w:r>
              <w:rPr>
                <w:color w:val="1A1A2E"/>
                <w:sz w:val="20"/>
              </w:rPr>
              <w:t>Signing of Incubation Agreement</w:t>
            </w:r>
          </w:p>
        </w:tc>
        <w:tc>
          <w:tcPr>
            <w:tcW w:type="dxa" w:w="2351"/>
            <w:shd w:val="clear" w:color="auto" w:fill="ECF0F1"/>
          </w:tcPr>
          <w:p>
            <w:r>
              <w:rPr>
                <w:color w:val="1A1A2E"/>
                <w:sz w:val="20"/>
              </w:rPr>
              <w:t>30%</w:t>
            </w:r>
          </w:p>
        </w:tc>
        <w:tc>
          <w:tcPr>
            <w:tcW w:type="dxa" w:w="2351"/>
            <w:shd w:val="clear" w:color="auto" w:fill="ECF0F1"/>
          </w:tcPr>
          <w:p>
            <w:r>
              <w:rPr>
                <w:color w:val="1A1A2E"/>
                <w:sz w:val="20"/>
              </w:rPr>
              <w:t>19.50</w:t>
            </w:r>
          </w:p>
        </w:tc>
      </w:tr>
      <w:tr>
        <w:tc>
          <w:tcPr>
            <w:tcW w:type="dxa" w:w="2351"/>
            <w:shd w:val="clear" w:color="auto" w:fill="FFFFFF"/>
          </w:tcPr>
          <w:p>
            <w:r>
              <w:rPr>
                <w:color w:val="1A1A2E"/>
                <w:sz w:val="20"/>
              </w:rPr>
              <w:t>2nd</w:t>
            </w:r>
          </w:p>
        </w:tc>
        <w:tc>
          <w:tcPr>
            <w:tcW w:type="dxa" w:w="2351"/>
            <w:shd w:val="clear" w:color="auto" w:fill="FFFFFF"/>
          </w:tcPr>
          <w:p>
            <w:r>
              <w:rPr>
                <w:color w:val="1A1A2E"/>
                <w:sz w:val="20"/>
              </w:rPr>
              <w:t>Completion of Phase 1 Milestone (Computational Certification + Experimental Protocol)</w:t>
            </w:r>
          </w:p>
        </w:tc>
        <w:tc>
          <w:tcPr>
            <w:tcW w:type="dxa" w:w="2351"/>
            <w:shd w:val="clear" w:color="auto" w:fill="FFFFFF"/>
          </w:tcPr>
          <w:p>
            <w:r>
              <w:rPr>
                <w:color w:val="1A1A2E"/>
                <w:sz w:val="20"/>
              </w:rPr>
              <w:t>20%</w:t>
            </w:r>
          </w:p>
        </w:tc>
        <w:tc>
          <w:tcPr>
            <w:tcW w:type="dxa" w:w="2351"/>
            <w:shd w:val="clear" w:color="auto" w:fill="FFFFFF"/>
          </w:tcPr>
          <w:p>
            <w:r>
              <w:rPr>
                <w:color w:val="1A1A2E"/>
                <w:sz w:val="20"/>
              </w:rPr>
              <w:t>13.00</w:t>
            </w:r>
          </w:p>
        </w:tc>
      </w:tr>
      <w:tr>
        <w:tc>
          <w:tcPr>
            <w:tcW w:type="dxa" w:w="2351"/>
            <w:shd w:val="clear" w:color="auto" w:fill="ECF0F1"/>
          </w:tcPr>
          <w:p>
            <w:r>
              <w:rPr>
                <w:color w:val="1A1A2E"/>
                <w:sz w:val="20"/>
              </w:rPr>
              <w:t>3rd</w:t>
            </w:r>
          </w:p>
        </w:tc>
        <w:tc>
          <w:tcPr>
            <w:tcW w:type="dxa" w:w="2351"/>
            <w:shd w:val="clear" w:color="auto" w:fill="ECF0F1"/>
          </w:tcPr>
          <w:p>
            <w:r>
              <w:rPr>
                <w:color w:val="1A1A2E"/>
                <w:sz w:val="20"/>
              </w:rPr>
              <w:t>Completion of Phase 2 Milestone (Coupon Fabrication + SEM/EDS Clearance)</w:t>
            </w:r>
          </w:p>
        </w:tc>
        <w:tc>
          <w:tcPr>
            <w:tcW w:type="dxa" w:w="2351"/>
            <w:shd w:val="clear" w:color="auto" w:fill="ECF0F1"/>
          </w:tcPr>
          <w:p>
            <w:r>
              <w:rPr>
                <w:color w:val="1A1A2E"/>
                <w:sz w:val="20"/>
              </w:rPr>
              <w:t>20%</w:t>
            </w:r>
          </w:p>
        </w:tc>
        <w:tc>
          <w:tcPr>
            <w:tcW w:type="dxa" w:w="2351"/>
            <w:shd w:val="clear" w:color="auto" w:fill="ECF0F1"/>
          </w:tcPr>
          <w:p>
            <w:r>
              <w:rPr>
                <w:color w:val="1A1A2E"/>
                <w:sz w:val="20"/>
              </w:rPr>
              <w:t>13.00</w:t>
            </w:r>
          </w:p>
        </w:tc>
      </w:tr>
      <w:tr>
        <w:tc>
          <w:tcPr>
            <w:tcW w:type="dxa" w:w="2351"/>
            <w:shd w:val="clear" w:color="auto" w:fill="FFFFFF"/>
          </w:tcPr>
          <w:p>
            <w:r>
              <w:rPr>
                <w:color w:val="1A1A2E"/>
                <w:sz w:val="20"/>
              </w:rPr>
              <w:t>4th</w:t>
            </w:r>
          </w:p>
        </w:tc>
        <w:tc>
          <w:tcPr>
            <w:tcW w:type="dxa" w:w="2351"/>
            <w:shd w:val="clear" w:color="auto" w:fill="FFFFFF"/>
          </w:tcPr>
          <w:p>
            <w:r>
              <w:rPr>
                <w:color w:val="1A1A2E"/>
                <w:sz w:val="20"/>
              </w:rPr>
              <w:t>Completion of Phase 3 Milestone (Thermal Cycling Validation + TRL 4/5 Report)</w:t>
            </w:r>
          </w:p>
        </w:tc>
        <w:tc>
          <w:tcPr>
            <w:tcW w:type="dxa" w:w="2351"/>
            <w:shd w:val="clear" w:color="auto" w:fill="FFFFFF"/>
          </w:tcPr>
          <w:p>
            <w:r>
              <w:rPr>
                <w:color w:val="1A1A2E"/>
                <w:sz w:val="20"/>
              </w:rPr>
              <w:t>20%</w:t>
            </w:r>
          </w:p>
        </w:tc>
        <w:tc>
          <w:tcPr>
            <w:tcW w:type="dxa" w:w="2351"/>
            <w:shd w:val="clear" w:color="auto" w:fill="FFFFFF"/>
          </w:tcPr>
          <w:p>
            <w:r>
              <w:rPr>
                <w:color w:val="1A1A2E"/>
                <w:sz w:val="20"/>
              </w:rPr>
              <w:t>13.00</w:t>
            </w:r>
          </w:p>
        </w:tc>
      </w:tr>
      <w:tr>
        <w:tc>
          <w:tcPr>
            <w:tcW w:type="dxa" w:w="2351"/>
            <w:shd w:val="clear" w:color="auto" w:fill="ECF0F1"/>
          </w:tcPr>
          <w:p>
            <w:r>
              <w:rPr>
                <w:color w:val="1A1A2E"/>
                <w:sz w:val="20"/>
              </w:rPr>
              <w:t>5th</w:t>
            </w:r>
          </w:p>
        </w:tc>
        <w:tc>
          <w:tcPr>
            <w:tcW w:type="dxa" w:w="2351"/>
            <w:shd w:val="clear" w:color="auto" w:fill="ECF0F1"/>
          </w:tcPr>
          <w:p>
            <w:r>
              <w:rPr>
                <w:color w:val="1A1A2E"/>
                <w:sz w:val="20"/>
              </w:rPr>
              <w:t>Submission of Final Project Report + Exit from Incubator (Reimbursement)</w:t>
            </w:r>
          </w:p>
        </w:tc>
        <w:tc>
          <w:tcPr>
            <w:tcW w:type="dxa" w:w="2351"/>
            <w:shd w:val="clear" w:color="auto" w:fill="ECF0F1"/>
          </w:tcPr>
          <w:p>
            <w:r>
              <w:rPr>
                <w:color w:val="1A1A2E"/>
                <w:sz w:val="20"/>
              </w:rPr>
              <w:t>10%</w:t>
            </w:r>
          </w:p>
        </w:tc>
        <w:tc>
          <w:tcPr>
            <w:tcW w:type="dxa" w:w="2351"/>
            <w:shd w:val="clear" w:color="auto" w:fill="ECF0F1"/>
          </w:tcPr>
          <w:p>
            <w:r>
              <w:rPr>
                <w:color w:val="1A1A2E"/>
                <w:sz w:val="20"/>
              </w:rPr>
              <w:t>6.50</w:t>
            </w:r>
          </w:p>
        </w:tc>
      </w:tr>
      <w:tr>
        <w:tc>
          <w:tcPr>
            <w:tcW w:type="dxa" w:w="2351"/>
            <w:shd w:val="clear" w:color="auto" w:fill="FFFFFF"/>
          </w:tcPr>
          <w:p>
            <w:r>
              <w:rPr>
                <w:color w:val="1A1A2E"/>
                <w:sz w:val="20"/>
              </w:rPr>
            </w:r>
          </w:p>
        </w:tc>
        <w:tc>
          <w:tcPr>
            <w:tcW w:type="dxa" w:w="2351"/>
            <w:shd w:val="clear" w:color="auto" w:fill="FFFFFF"/>
          </w:tcPr>
          <w:p>
            <w:r>
              <w:rPr>
                <w:color w:val="1A1A2E"/>
                <w:sz w:val="20"/>
              </w:rPr>
              <w:t>TOTAL</w:t>
            </w:r>
          </w:p>
        </w:tc>
        <w:tc>
          <w:tcPr>
            <w:tcW w:type="dxa" w:w="2351"/>
            <w:shd w:val="clear" w:color="auto" w:fill="FFFFFF"/>
          </w:tcPr>
          <w:p>
            <w:r>
              <w:rPr>
                <w:color w:val="1A1A2E"/>
                <w:sz w:val="20"/>
              </w:rPr>
              <w:t>100%</w:t>
            </w:r>
          </w:p>
        </w:tc>
        <w:tc>
          <w:tcPr>
            <w:tcW w:type="dxa" w:w="2351"/>
            <w:shd w:val="clear" w:color="auto" w:fill="FFFFFF"/>
          </w:tcPr>
          <w:p>
            <w:r>
              <w:rPr>
                <w:color w:val="1A1A2E"/>
                <w:sz w:val="20"/>
              </w:rPr>
              <w:t>65.00</w:t>
            </w:r>
          </w:p>
        </w:tc>
      </w:tr>
    </w:tbl>
    <w:p/>
    <w:p>
      <w:pPr>
        <w:spacing w:before="20" w:after="80"/>
      </w:pPr>
      <w:r>
        <w:rPr>
          <w:color w:val="1A1A2E"/>
          <w:sz w:val="21"/>
        </w:rPr>
        <w:t>Note: A separate no-lien bank account will be opened exclusively for this grant. No commingling with other funding streams. All expenditures will be supported by invoices and audited by a Chartered Accountant as per SCIDIP requirements.</w:t>
      </w:r>
    </w:p>
    <w:p>
      <w:pPr>
        <w:spacing w:before="120" w:after="120"/>
      </w:pPr>
      <w:r>
        <w:rPr>
          <w:color w:val="BBBBBB"/>
          <w:sz w:val="14"/>
        </w:rPr>
        <w:t>━━━━━━━━━━━━━━━━━━━━━━━━━━━━━━━━━━━━━━━━━━━━━━━━━━━━━━━━━━━━━━━━━━━━━━━━━━━━━━━━━━━━━</w:t>
      </w:r>
    </w:p>
    <w:p>
      <w:pPr>
        <w:spacing w:before="320" w:after="60"/>
      </w:pPr>
      <w:r>
        <w:rPr>
          <w:b/>
          <w:color w:val="0B1D51"/>
          <w:sz w:val="28"/>
          <w:u w:val="single"/>
        </w:rPr>
        <w:t>Section 5: Justification for IIT Delhi CRF — Why No Alternative Exists</w:t>
      </w:r>
    </w:p>
    <w:p>
      <w:pPr>
        <w:spacing w:before="20" w:after="80"/>
      </w:pPr>
      <w:r>
        <w:rPr>
          <w:color w:val="1A1A2E"/>
          <w:sz w:val="21"/>
        </w:rPr>
        <w:t>The following justification is provided in accordance with SCIDIP program requirement that equipment access and outsourcing be justified against alternatives. Every item listed under Outsourcing (Section 4) is directed to IIT Delhi CRF for the following documented reasons:</w:t>
      </w:r>
    </w:p>
    <w:p>
      <w:pPr>
        <w:spacing w:before="120" w:after="20"/>
      </w:pPr>
      <w:r>
        <w:rPr>
          <w:b/>
          <w:color w:val="C07A00"/>
          <w:sz w:val="22"/>
        </w:rPr>
        <w:t>1. STA at 1500°C — No Comparable Alternative:</w:t>
      </w:r>
    </w:p>
    <w:p>
      <w:pPr>
        <w:spacing w:before="20" w:after="80"/>
      </w:pPr>
      <w:r>
        <w:rPr>
          <w:color w:val="1A1A2E"/>
          <w:sz w:val="21"/>
        </w:rPr>
        <w:t>Our RHEA+FGM system requires TGA and DSC measurement at temperatures up to 1500°C. CSIR-IICT, NIT Warangal, IISc and private labs in Hyderabad/Bangalore operate STA equipment with maximum limits of 1200-1300°C — insufficient for our refractory alloy system. IIT Delhi CRF operates STA equipment rated to 1500°C. This is not a preference — it is a technical requirement.</w:t>
      </w:r>
    </w:p>
    <w:p>
      <w:pPr>
        <w:spacing w:before="120" w:after="20"/>
      </w:pPr>
      <w:r>
        <w:rPr>
          <w:b/>
          <w:color w:val="C07A00"/>
          <w:sz w:val="22"/>
        </w:rPr>
        <w:t>2. LENS/DED Multi-Hopper System — Unique Capability:</w:t>
      </w:r>
    </w:p>
    <w:p>
      <w:pPr>
        <w:spacing w:before="20" w:after="80"/>
      </w:pPr>
      <w:r>
        <w:rPr>
          <w:color w:val="1A1A2E"/>
          <w:sz w:val="21"/>
        </w:rPr>
        <w:t>Our 11-layer FGM requires simultaneous dual-hopper powder feeding during a single LENS deposition run — one hopper for the RHEA metallic alloy, one for LZO ceramic, with continuously varying mix ratios per layer. This multi-hopper LENS capability for refractory HEA + oxide ceramic systems does not exist in any private Indian AM facility. IIT Delhi CRF houses this specific configuration. Outsourcing to an overseas facility (e.g., Optomec USA) would cost Rs. 25-40 Lakhs per run, making it economically unviable.</w:t>
      </w:r>
    </w:p>
    <w:p>
      <w:pPr>
        <w:spacing w:before="120" w:after="20"/>
      </w:pPr>
      <w:r>
        <w:rPr>
          <w:b/>
          <w:color w:val="C07A00"/>
          <w:sz w:val="22"/>
        </w:rPr>
        <w:t>3. High-Temperature XRD — Validated Capability:</w:t>
      </w:r>
    </w:p>
    <w:p>
      <w:pPr>
        <w:spacing w:before="20" w:after="80"/>
      </w:pPr>
      <w:r>
        <w:rPr>
          <w:color w:val="1A1A2E"/>
          <w:sz w:val="21"/>
        </w:rPr>
        <w:t>Phase identification at 873-1173K (in-situ high-temperature XRD) is required to detect sigma-phase formation during heating — a critical go/no-go criterion for our alloy. Room-temperature XRD cannot detect high-temperature phase transformations that occur only at operational temperatures. IIT Delhi CRF has high-temperature XRD capability. Commercial labs (SAIF labs, private NDT centres) offer only ambient XRD.</w:t>
      </w:r>
    </w:p>
    <w:p>
      <w:pPr>
        <w:spacing w:before="120" w:after="20"/>
      </w:pPr>
      <w:r>
        <w:rPr>
          <w:b/>
          <w:color w:val="C07A00"/>
          <w:sz w:val="22"/>
        </w:rPr>
        <w:t>4. Our Own Team Has Prior Linkage:</w:t>
      </w:r>
    </w:p>
    <w:p>
      <w:pPr>
        <w:spacing w:before="20" w:after="80"/>
      </w:pPr>
      <w:r>
        <w:rPr>
          <w:color w:val="1A1A2E"/>
          <w:sz w:val="21"/>
        </w:rPr>
        <w:t>Dr. Kasarapu Venkataramana (Crystal Paradigm SME) previously worked on DRDO-sponsored projects at CSIR-IICT and has direct working knowledge of which Indian facilities can characterize refractory alloy systems at extreme temperatures. His recommendation, based on direct experimental experience, is IIT Delhi CRF as the sole viable domestic option for our complete validation pipeline.</w:t>
      </w:r>
    </w:p>
    <w:p>
      <w:pPr>
        <w:spacing w:before="120" w:after="20"/>
      </w:pPr>
      <w:r>
        <w:rPr>
          <w:b/>
          <w:color w:val="C07A00"/>
          <w:sz w:val="22"/>
        </w:rPr>
        <w:t>5. Safran Already Rejected Physical Collaboration:</w:t>
      </w:r>
    </w:p>
    <w:p>
      <w:pPr>
        <w:spacing w:before="20" w:after="80"/>
      </w:pPr>
      <w:r>
        <w:rPr>
          <w:color w:val="1A1A2E"/>
          <w:sz w:val="21"/>
        </w:rPr>
        <w:t>Safran (France), our original intended collaboration partner for physical validation, has declined to proceed with this project at the current stage. IIT Delhi — as the only Indian institution with the required equipment cluster, aerospace materials research expertise, and DRDO/HAL collaboration track record — is the singular alternative pathway to physical validation.</w:t>
      </w:r>
    </w:p>
    <w:p>
      <w:pPr>
        <w:spacing w:before="120" w:after="120"/>
      </w:pPr>
      <w:r>
        <w:rPr>
          <w:color w:val="BBBBBB"/>
          <w:sz w:val="14"/>
        </w:rPr>
        <w:t>━━━━━━━━━━━━━━━━━━━━━━━━━━━━━━━━━━━━━━━━━━━━━━━━━━━━━━━━━━━━━━━━━━━━━━━━━━━━━━━━━━━━━</w:t>
      </w:r>
    </w:p>
    <w:p>
      <w:pPr>
        <w:jc w:val="center"/>
      </w:pPr>
      <w:r>
        <w:rPr>
          <w:i/>
          <w:color w:val="555555"/>
          <w:sz w:val="18"/>
        </w:rPr>
        <w:t>Crystal Paradigm Private Limited  |  Indian Patent App: 202641084226  |  TRL 3+  |  crystalparadigm.in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