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D51"/>
          <w:sz w:val="32"/>
        </w:rPr>
        <w:t>HE-MCGA PROJECT — MATERIAL SCIENCE OVERVIEW</w:t>
      </w:r>
    </w:p>
    <w:p>
      <w:pPr>
        <w:jc w:val="center"/>
      </w:pPr>
      <w:r>
        <w:rPr>
          <w:i/>
          <w:color w:val="555555"/>
          <w:sz w:val="20"/>
        </w:rPr>
        <w:t>Crystal Paradigm Private Limited  |  Mentor Briefing Document</w:t>
      </w:r>
    </w:p>
    <w:p>
      <w:pPr>
        <w:spacing w:before="100" w:after="100"/>
      </w:pPr>
      <w:r>
        <w:rPr>
          <w:color w:val="BBBBBB"/>
          <w:sz w:val="14"/>
        </w:rPr>
        <w:t>━━━━━━━━━━━━━━━━━━━━━━━━━━━━━━━━━━━━━━━━━━━━━━━━━━━━━━━━━━━━━━━━━━━━━━━━━━━━━━━━━━</w:t>
      </w:r>
    </w:p>
    <w:p>
      <w:pPr>
        <w:spacing w:before="280" w:after="60"/>
      </w:pPr>
      <w:r>
        <w:rPr>
          <w:b/>
          <w:color w:val="0B1D51"/>
          <w:sz w:val="26"/>
          <w:u w:val="single"/>
        </w:rPr>
        <w:t>1. Problem Statement</w:t>
      </w:r>
    </w:p>
    <w:p>
      <w:pPr>
        <w:spacing w:before="20" w:after="100"/>
      </w:pPr>
      <w:r>
        <w:rPr>
          <w:color w:val="1A1A2E"/>
          <w:sz w:val="21"/>
        </w:rPr>
        <w:t>Modern jet turbine blades must operate at 1400°C (1673 K) and 15,000 RPM. The materials currently used — Nickel-based single-crystal superalloys (e.g., CMSX-4) — are at their thermal ceiling. Two fundamental failure mechanisms limit further progress:</w:t>
      </w:r>
    </w:p>
    <w:p>
      <w:pPr>
        <w:pStyle w:val="ListBullet"/>
        <w:spacing w:before="20" w:after="60"/>
      </w:pPr>
      <w:r>
        <w:rPr>
          <w:color w:val="1A1A2E"/>
          <w:sz w:val="21"/>
        </w:rPr>
      </w:r>
      <w:r>
        <w:rPr>
          <w:b/>
          <w:color w:val="1A1A2E"/>
          <w:sz w:val="21"/>
        </w:rPr>
        <w:t>CTE Mismatch</w:t>
      </w:r>
      <w:r>
        <w:rPr>
          <w:color w:val="1A1A2E"/>
          <w:sz w:val="21"/>
        </w:rPr>
        <w:t xml:space="preserve"> &amp; Delamination: The metallic substrate and the ceramic thermal barrier coating (TBC) expand and contract at different rates during thermal cycling. This mismatch in Coefficient of Thermal Expansion (CTE) builds up shear stress at the metal-ceramic interface, which eventually causes the coating to delaminate and spall off — catastrophic failure.</w:t>
      </w:r>
    </w:p>
    <w:p>
      <w:pPr>
        <w:pStyle w:val="ListBullet"/>
        <w:spacing w:before="20" w:after="60"/>
      </w:pPr>
      <w:r>
        <w:rPr>
          <w:color w:val="1A1A2E"/>
          <w:sz w:val="21"/>
        </w:rPr>
      </w:r>
      <w:r>
        <w:rPr>
          <w:b/>
          <w:color w:val="1A1A2E"/>
          <w:sz w:val="21"/>
        </w:rPr>
        <w:t>CMAS Attack</w:t>
      </w:r>
      <w:r>
        <w:rPr>
          <w:color w:val="1A1A2E"/>
          <w:sz w:val="21"/>
        </w:rPr>
        <w:t>: At temperatures above 1240°C, calcium-magnesium-alumino-silicate dust (CMAS — ingested from sand and ash) melts and chemically dissolves the most widely used TBC ceramic, Yttria Stabilized Zirconia (YSZ). YSZ has no CMAS resistance above this temperature.</w:t>
      </w:r>
    </w:p>
    <w:p>
      <w:pPr>
        <w:pStyle w:val="ListBullet"/>
        <w:spacing w:before="20" w:after="60"/>
      </w:pPr>
      <w:r>
        <w:rPr>
          <w:color w:val="1A1A2E"/>
          <w:sz w:val="21"/>
        </w:rPr>
      </w:r>
      <w:r>
        <w:rPr>
          <w:b/>
          <w:color w:val="1A1A2E"/>
          <w:sz w:val="21"/>
        </w:rPr>
        <w:t>Supply Chain Fragility</w:t>
      </w:r>
      <w:r>
        <w:rPr>
          <w:color w:val="1A1A2E"/>
          <w:sz w:val="21"/>
        </w:rPr>
        <w:t>: Current high-performance alloys rely heavily on Hafnium (Hf) — a scarce, expensive element with significant supply chain concentration risk. Reduction of Hf content without sacrificing performance is a critical industrial goal.</w:t>
      </w:r>
    </w:p>
    <w:p>
      <w:pPr>
        <w:pStyle w:val="ListBullet"/>
        <w:spacing w:before="20" w:after="60"/>
      </w:pPr>
      <w:r>
        <w:rPr>
          <w:color w:val="1A1A2E"/>
          <w:sz w:val="21"/>
        </w:rPr>
      </w:r>
      <w:r>
        <w:rPr>
          <w:b/>
          <w:color w:val="1A1A2E"/>
          <w:sz w:val="21"/>
        </w:rPr>
        <w:t>Cooling Hole Stress</w:t>
      </w:r>
      <w:r>
        <w:rPr>
          <w:color w:val="1A1A2E"/>
          <w:sz w:val="21"/>
        </w:rPr>
        <w:t>: Traditional blade cooling uses macro-drilled holes which create stress concentration factors Kt &gt;= 3.0 at the hole perimeter — preferential sites for crack initiation under cyclic fatigue.</w:t>
      </w:r>
    </w:p>
    <w:p>
      <w:pPr>
        <w:spacing w:before="20" w:after="100"/>
      </w:pPr>
      <w:r>
        <w:rPr>
          <w:color w:val="1A1A2E"/>
          <w:sz w:val="21"/>
        </w:rPr>
        <w:t>In short: the industry needs a new material system that is thermally stable above 1300°C, chemically resistant to CMAS, has minimal CTE mismatch across metal-to-ceramic transition, reduces Hafnium dependency, and can be physically manufactured using existing additive processes.</w:t>
      </w:r>
    </w:p>
    <w:p>
      <w:pPr>
        <w:spacing w:before="100" w:after="100"/>
      </w:pPr>
      <w:r>
        <w:rPr>
          <w:color w:val="BBBBBB"/>
          <w:sz w:val="14"/>
        </w:rPr>
        <w:t>━━━━━━━━━━━━━━━━━━━━━━━━━━━━━━━━━━━━━━━━━━━━━━━━━━━━━━━━━━━━━━━━━━━━━━━━━━━━━━━━━━</w:t>
      </w:r>
    </w:p>
    <w:p>
      <w:pPr>
        <w:spacing w:before="280" w:after="60"/>
      </w:pPr>
      <w:r>
        <w:rPr>
          <w:b/>
          <w:color w:val="0B1D51"/>
          <w:sz w:val="26"/>
          <w:u w:val="single"/>
        </w:rPr>
        <w:t>2. What We Have Built — The HE-MCGA System</w:t>
      </w:r>
    </w:p>
    <w:p>
      <w:pPr>
        <w:spacing w:before="20" w:after="100"/>
      </w:pPr>
      <w:r>
        <w:rPr>
          <w:color w:val="1A1A2E"/>
          <w:sz w:val="21"/>
        </w:rPr>
        <w:t>We have computationally engineered a two-part material architecture called HE-MCGA (High-Entropy alloy + Multi-layer Ceramic Graded Architecture). Think of it as a next-generation thermal barrier coating system built on a new alloy substrate, where the transition between metal and ceramic is not a sharp boundary but a carefully engineered gradient — eliminating the primary cause of delamination.</w:t>
      </w:r>
    </w:p>
    <w:p>
      <w:pPr>
        <w:spacing w:before="160" w:after="40"/>
      </w:pPr>
      <w:r>
        <w:rPr>
          <w:b/>
          <w:color w:val="145930"/>
          <w:sz w:val="23"/>
        </w:rPr>
        <w:t>Part 1 — Refractory High-Entropy Alloy (RHEA) Substrate</w:t>
      </w:r>
    </w:p>
    <w:p>
      <w:pPr>
        <w:spacing w:before="20" w:after="100"/>
      </w:pPr>
      <w:r>
        <w:rPr>
          <w:color w:val="1A1A2E"/>
          <w:sz w:val="21"/>
        </w:rPr>
        <w:t>A High-Entropy Alloy (HEA) is a multi-principal-element alloy containing five or more elements in near-equimolar concentrations. The multi-element composition stabilizes a single disordered solid-solution phase (BCC in our case) through entropy of mixing, rather than relying on intermetallic compound formation. Our alloy is drawn from the refractory element space: Tantalum (Ta), Tungsten (W), Chromium (Cr), Vanadium (V), Titanium (Ti), Hafnium (Hf), Zirconium (Zr), Niobium (Nb) — 9 elements total.</w:t>
      </w:r>
    </w:p>
    <w:p>
      <w:pPr>
        <w:pStyle w:val="ListBullet"/>
        <w:spacing w:before="20" w:after="60"/>
      </w:pPr>
      <w:r>
        <w:rPr>
          <w:color w:val="1A1A2E"/>
          <w:sz w:val="21"/>
        </w:rPr>
        <w:t xml:space="preserve">Phase structure: </w:t>
      </w:r>
      <w:r>
        <w:rPr>
          <w:b/>
          <w:color w:val="1A1A2E"/>
          <w:sz w:val="21"/>
        </w:rPr>
        <w:t>Single-phase BCC</w:t>
      </w:r>
      <w:r>
        <w:rPr>
          <w:color w:val="1A1A2E"/>
          <w:sz w:val="21"/>
        </w:rPr>
        <w:t xml:space="preserve"> solid solution — confirmed thermodynamically stable from 300K to 3000K via CALPHAD (TCHEA4 database). Zero brittle sigma-phase risk (a key failure mode in multi-element alloys).</w:t>
      </w:r>
    </w:p>
    <w:p>
      <w:pPr>
        <w:pStyle w:val="ListBullet"/>
        <w:spacing w:before="20" w:after="60"/>
      </w:pPr>
      <w:r>
        <w:rPr>
          <w:color w:val="1A1A2E"/>
          <w:sz w:val="21"/>
        </w:rPr>
        <w:t xml:space="preserve">Yield strength: </w:t>
      </w:r>
      <w:r>
        <w:rPr>
          <w:b/>
          <w:color w:val="1A1A2E"/>
          <w:sz w:val="21"/>
        </w:rPr>
        <w:t>&gt;917 MPa</w:t>
      </w:r>
      <w:r>
        <w:rPr>
          <w:color w:val="1A1A2E"/>
          <w:sz w:val="21"/>
        </w:rPr>
        <w:t xml:space="preserve"> at 1400K — sustaining structural integrity under 15,000 RPM centrifugal loading at turbine operating temperature.</w:t>
      </w:r>
    </w:p>
    <w:p>
      <w:pPr>
        <w:pStyle w:val="ListBullet"/>
        <w:spacing w:before="20" w:after="60"/>
      </w:pPr>
      <w:r>
        <w:rPr>
          <w:color w:val="1A1A2E"/>
          <w:sz w:val="21"/>
        </w:rPr>
        <w:t xml:space="preserve">CMAS resistance: LZO (Lanthanum Zirconate, </w:t>
      </w:r>
      <w:r>
        <w:rPr>
          <w:b/>
          <w:color w:val="1A1A2E"/>
          <w:sz w:val="21"/>
        </w:rPr>
        <w:t>La2Zr2O7</w:t>
      </w:r>
      <w:r>
        <w:rPr>
          <w:color w:val="1A1A2E"/>
          <w:sz w:val="21"/>
        </w:rPr>
        <w:t>) ceramic top-coat replaces YSZ. La2Zr2O7 is thermodynamically stable against CMAS dissolution at temperatures up to 1400°C.</w:t>
      </w:r>
    </w:p>
    <w:p>
      <w:pPr>
        <w:pStyle w:val="ListBullet"/>
        <w:spacing w:before="20" w:after="60"/>
      </w:pPr>
      <w:r>
        <w:rPr>
          <w:color w:val="1A1A2E"/>
          <w:sz w:val="21"/>
        </w:rPr>
        <w:t xml:space="preserve">Hf reduction: Strategic compositional optimization reduced Hafnium content by </w:t>
      </w:r>
      <w:r>
        <w:rPr>
          <w:b/>
          <w:color w:val="1A1A2E"/>
          <w:sz w:val="21"/>
        </w:rPr>
        <w:t>&gt;75%</w:t>
      </w:r>
      <w:r>
        <w:rPr>
          <w:color w:val="1A1A2E"/>
          <w:sz w:val="21"/>
        </w:rPr>
        <w:t xml:space="preserve"> versus the CMSX-4 baseline, while maintaining equivalent or superior mechanical performance.</w:t>
      </w:r>
    </w:p>
    <w:p>
      <w:pPr>
        <w:spacing w:before="160" w:after="40"/>
      </w:pPr>
      <w:r>
        <w:rPr>
          <w:b/>
          <w:color w:val="145930"/>
          <w:sz w:val="23"/>
        </w:rPr>
        <w:t>Part 2 — 11-Layer Functionally Graded Material (FGM) Transition Zone</w:t>
      </w:r>
    </w:p>
    <w:p>
      <w:pPr>
        <w:spacing w:before="20" w:after="100"/>
      </w:pPr>
      <w:r>
        <w:rPr>
          <w:color w:val="1A1A2E"/>
          <w:sz w:val="21"/>
        </w:rPr>
        <w:t>A Functionally Graded Material (FGM) is a material whose composition and microstructure vary continuously or in discrete steps from one surface to another. Instead of a sharp metal-to-ceramic interface (which creates a stress discontinuity), we designed an 11-layer gradient spanning 5mm: Layer 1 is 100% RHEA alloy, Layer 11 is 100% LZO ceramic, with intermediate layers following a power-law volume fraction profile (exponent n=1.1).</w:t>
      </w:r>
    </w:p>
    <w:p>
      <w:pPr>
        <w:pStyle w:val="ListBullet"/>
        <w:spacing w:before="20" w:after="60"/>
      </w:pPr>
      <w:r>
        <w:rPr>
          <w:color w:val="1A1A2E"/>
          <w:sz w:val="21"/>
        </w:rPr>
        <w:t xml:space="preserve">n=1.1 power-law gradient: Mathematically optimized to shift the peak interfacial shear stress away from the brittle ceramic surface. Restricts interface shear to </w:t>
      </w:r>
      <w:r>
        <w:rPr>
          <w:b/>
          <w:color w:val="1A1A2E"/>
          <w:sz w:val="21"/>
        </w:rPr>
        <w:t>15.95 MPa</w:t>
      </w:r>
      <w:r>
        <w:rPr>
          <w:color w:val="1A1A2E"/>
          <w:sz w:val="21"/>
        </w:rPr>
        <w:t xml:space="preserve"> — well below the delamination threshold.</w:t>
      </w:r>
    </w:p>
    <w:p>
      <w:pPr>
        <w:pStyle w:val="ListBullet"/>
        <w:spacing w:before="20" w:after="60"/>
      </w:pPr>
      <w:r>
        <w:rPr>
          <w:color w:val="1A1A2E"/>
          <w:sz w:val="21"/>
        </w:rPr>
        <w:t xml:space="preserve">5mm total transition zone: Each of the 11 layers is </w:t>
      </w:r>
      <w:r>
        <w:rPr>
          <w:b/>
          <w:color w:val="1A1A2E"/>
          <w:sz w:val="21"/>
        </w:rPr>
        <w:t>0.5mm thick</w:t>
      </w:r>
      <w:r>
        <w:rPr>
          <w:color w:val="1A1A2E"/>
          <w:sz w:val="21"/>
        </w:rPr>
        <w:t>, fabricated using a dual-hopper Laser Engineered Net Shaping (LENS) 3D printing process — simultaneously depositing alloy and ceramic powder in the correct ratio per layer.</w:t>
      </w:r>
    </w:p>
    <w:p>
      <w:pPr>
        <w:pStyle w:val="ListBullet"/>
        <w:spacing w:before="20" w:after="60"/>
      </w:pPr>
      <w:r>
        <w:rPr>
          <w:color w:val="1A1A2E"/>
          <w:sz w:val="21"/>
        </w:rPr>
        <w:t xml:space="preserve">Crack arrest: Fatigue crack propagation simulations (Paris Law) show </w:t>
      </w:r>
      <w:r>
        <w:rPr>
          <w:b/>
          <w:color w:val="1A1A2E"/>
          <w:sz w:val="21"/>
        </w:rPr>
        <w:t>crack arrest</w:t>
      </w:r>
      <w:r>
        <w:rPr>
          <w:color w:val="1A1A2E"/>
          <w:sz w:val="21"/>
        </w:rPr>
        <w:t xml:space="preserve"> at &lt;1 um within the gradient zone — the gradient architecture acts as an inherent crack propagation barrier.</w:t>
      </w:r>
    </w:p>
    <w:p>
      <w:pPr>
        <w:spacing w:before="160" w:after="40"/>
      </w:pPr>
      <w:r>
        <w:rPr>
          <w:b/>
          <w:color w:val="145930"/>
          <w:sz w:val="23"/>
        </w:rPr>
        <w:t>Part 3 — Transpiration Cooling Network (TCN)</w:t>
      </w:r>
    </w:p>
    <w:p>
      <w:pPr>
        <w:spacing w:before="20" w:after="100"/>
      </w:pPr>
      <w:r>
        <w:rPr>
          <w:color w:val="1A1A2E"/>
          <w:sz w:val="21"/>
        </w:rPr>
        <w:t>Instead of drilled macro-holes (which cause stress concentrations), we replace active cooling with co-deposited micro-porous channels programmed into the outer ceramic and graded layers during LENS fabrication. Cooling air weeps uniformly through the porous network, forming a continuous protective film on the hot-face — eliminating stress concentration hotspots and reducing dependence on compressor-bled air by 15%.</w:t>
      </w:r>
    </w:p>
    <w:p>
      <w:pPr>
        <w:spacing w:before="100" w:after="100"/>
      </w:pPr>
      <w:r>
        <w:rPr>
          <w:color w:val="BBBBBB"/>
          <w:sz w:val="14"/>
        </w:rPr>
        <w:t>━━━━━━━━━━━━━━━━━━━━━━━━━━━━━━━━━━━━━━━━━━━━━━━━━━━━━━━━━━━━━━━━━━━━━━━━━━━━━━━━━━</w:t>
      </w:r>
    </w:p>
    <w:p>
      <w:pPr>
        <w:spacing w:before="280" w:after="60"/>
      </w:pPr>
      <w:r>
        <w:rPr>
          <w:b/>
          <w:color w:val="0B1D51"/>
          <w:sz w:val="26"/>
          <w:u w:val="single"/>
        </w:rPr>
        <w:t>3. Materials Science Domains, Properties &amp; Design Logic</w:t>
      </w:r>
    </w:p>
    <w:p>
      <w:pPr>
        <w:spacing w:before="160" w:after="40"/>
      </w:pPr>
      <w:r>
        <w:rPr>
          <w:b/>
          <w:color w:val="145930"/>
          <w:sz w:val="23"/>
        </w:rPr>
        <w:t>Domains Covered in This Project:</w:t>
      </w:r>
    </w:p>
    <w:p>
      <w:pPr>
        <w:pStyle w:val="ListBullet"/>
        <w:spacing w:before="20" w:after="60"/>
      </w:pPr>
      <w:r>
        <w:rPr>
          <w:color w:val="1A1A2E"/>
          <w:sz w:val="21"/>
        </w:rPr>
      </w:r>
      <w:r>
        <w:rPr>
          <w:b/>
          <w:color w:val="1A1A2E"/>
          <w:sz w:val="21"/>
        </w:rPr>
        <w:t>Refractory High-Entropy Alloys</w:t>
      </w:r>
      <w:r>
        <w:rPr>
          <w:color w:val="1A1A2E"/>
          <w:sz w:val="21"/>
        </w:rPr>
        <w:t xml:space="preserve"> (RHEAs): Multi-principal-element alloys in BCC-stabilizing refractory element spaces. Emerging field — commercially unexploited at scale.</w:t>
      </w:r>
    </w:p>
    <w:p>
      <w:pPr>
        <w:pStyle w:val="ListBullet"/>
        <w:spacing w:before="20" w:after="60"/>
      </w:pPr>
      <w:r>
        <w:rPr>
          <w:color w:val="1A1A2E"/>
          <w:sz w:val="21"/>
        </w:rPr>
      </w:r>
      <w:r>
        <w:rPr>
          <w:b/>
          <w:color w:val="1A1A2E"/>
          <w:sz w:val="21"/>
        </w:rPr>
        <w:t>Functionally Graded Materials</w:t>
      </w:r>
      <w:r>
        <w:rPr>
          <w:color w:val="1A1A2E"/>
          <w:sz w:val="21"/>
        </w:rPr>
        <w:t xml:space="preserve"> (FGMs): Metal-to-ceramic gradient architecture for thermal barrier applications — eliminating the sharp interface failure mode of conventional coatings.</w:t>
      </w:r>
    </w:p>
    <w:p>
      <w:pPr>
        <w:pStyle w:val="ListBullet"/>
        <w:spacing w:before="20" w:after="60"/>
      </w:pPr>
      <w:r>
        <w:rPr>
          <w:color w:val="1A1A2E"/>
          <w:sz w:val="21"/>
        </w:rPr>
      </w:r>
      <w:r>
        <w:rPr>
          <w:b/>
          <w:color w:val="1A1A2E"/>
          <w:sz w:val="21"/>
        </w:rPr>
        <w:t>Thermal Barrier Coatings</w:t>
      </w:r>
      <w:r>
        <w:rPr>
          <w:color w:val="1A1A2E"/>
          <w:sz w:val="21"/>
        </w:rPr>
        <w:t xml:space="preserve"> (TBCs): High-temperature oxidation-resistant ceramic top coats. We use La2Zr2O7 (LZO) instead of the conventional YSZ — chosen specifically for CMAS resistance and phase stability above 1200°C.</w:t>
      </w:r>
    </w:p>
    <w:p>
      <w:pPr>
        <w:pStyle w:val="ListBullet"/>
        <w:spacing w:before="20" w:after="60"/>
      </w:pPr>
      <w:r>
        <w:rPr>
          <w:color w:val="1A1A2E"/>
          <w:sz w:val="21"/>
        </w:rPr>
      </w:r>
      <w:r>
        <w:rPr>
          <w:b/>
          <w:color w:val="1A1A2E"/>
          <w:sz w:val="21"/>
        </w:rPr>
        <w:t>Additive Manufacturing</w:t>
      </w:r>
      <w:r>
        <w:rPr>
          <w:color w:val="1A1A2E"/>
          <w:sz w:val="21"/>
        </w:rPr>
        <w:t xml:space="preserve"> of Refractory Alloys: LENS (Laser Engineered Net Shaping) / DED (Directed Energy Deposition) — the only scalable process capable of depositing multi-composition refractory metal + ceramic gradient in a single build.</w:t>
      </w:r>
    </w:p>
    <w:p>
      <w:pPr>
        <w:spacing w:before="160" w:after="40"/>
      </w:pPr>
      <w:r>
        <w:rPr>
          <w:b/>
          <w:color w:val="145930"/>
          <w:sz w:val="23"/>
        </w:rPr>
        <w:t>Key Material Properties Used in Design: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1D51"/>
          </w:tcPr>
          <w:p>
            <w:r>
              <w:rPr>
                <w:b/>
                <w:color w:val="FFFFFF"/>
                <w:sz w:val="20"/>
              </w:rPr>
              <w:t>Property</w:t>
            </w:r>
          </w:p>
        </w:tc>
        <w:tc>
          <w:tcPr>
            <w:tcW w:type="dxa" w:w="3135"/>
            <w:shd w:val="clear" w:color="auto" w:fill="0B1D51"/>
          </w:tcPr>
          <w:p>
            <w:r>
              <w:rPr>
                <w:b/>
                <w:color w:val="FFFFFF"/>
                <w:sz w:val="20"/>
              </w:rPr>
              <w:t>Role in Design</w:t>
            </w:r>
          </w:p>
        </w:tc>
        <w:tc>
          <w:tcPr>
            <w:tcW w:type="dxa" w:w="3135"/>
            <w:shd w:val="clear" w:color="auto" w:fill="0B1D51"/>
          </w:tcPr>
          <w:p>
            <w:r>
              <w:rPr>
                <w:b/>
                <w:color w:val="FFFFFF"/>
                <w:sz w:val="20"/>
              </w:rPr>
              <w:t>Our Result</w:t>
            </w:r>
          </w:p>
        </w:tc>
      </w:tr>
      <w:tr>
        <w:tc>
          <w:tcPr>
            <w:tcW w:type="dxa" w:w="3135"/>
            <w:shd w:val="clear" w:color="auto" w:fill="ECF0F1"/>
          </w:tcPr>
          <w:p>
            <w:r>
              <w:rPr>
                <w:color w:val="1A1A2E"/>
                <w:sz w:val="20"/>
              </w:rPr>
              <w:t>Valence Electron Concentration (VEC)</w:t>
            </w:r>
          </w:p>
        </w:tc>
        <w:tc>
          <w:tcPr>
            <w:tcW w:type="dxa" w:w="3135"/>
            <w:shd w:val="clear" w:color="auto" w:fill="ECF0F1"/>
          </w:tcPr>
          <w:p>
            <w:r>
              <w:rPr>
                <w:color w:val="1A1A2E"/>
                <w:sz w:val="20"/>
              </w:rPr>
              <w:t>BCC stability criterion: VEC 4.5-5.5 = stable BCC. VEC &gt;5.5 triggers brittle sigma phase.</w:t>
            </w:r>
          </w:p>
        </w:tc>
        <w:tc>
          <w:tcPr>
            <w:tcW w:type="dxa" w:w="3135"/>
            <w:shd w:val="clear" w:color="auto" w:fill="ECF0F1"/>
          </w:tcPr>
          <w:p>
            <w:r>
              <w:rPr>
                <w:color w:val="1A1A2E"/>
                <w:sz w:val="20"/>
              </w:rPr>
              <w:t>VEC = 5.02 — stable BCC confirmed</w:t>
            </w:r>
          </w:p>
        </w:tc>
      </w:tr>
      <w:tr>
        <w:tc>
          <w:tcPr>
            <w:tcW w:type="dxa" w:w="3135"/>
            <w:shd w:val="clear" w:color="auto" w:fill="FFFFFF"/>
          </w:tcPr>
          <w:p>
            <w:r>
              <w:rPr>
                <w:color w:val="1A1A2E"/>
                <w:sz w:val="20"/>
              </w:rPr>
              <w:t>Coefficient of Thermal Expansion (CTE)</w:t>
            </w:r>
          </w:p>
        </w:tc>
        <w:tc>
          <w:tcPr>
            <w:tcW w:type="dxa" w:w="3135"/>
            <w:shd w:val="clear" w:color="auto" w:fill="FFFFFF"/>
          </w:tcPr>
          <w:p>
            <w:r>
              <w:rPr>
                <w:color w:val="1A1A2E"/>
                <w:sz w:val="20"/>
              </w:rPr>
              <w:t>Must be matched layer-by-layer to prevent thermal cycling delamination. LZO has lower CTE than YSZ — better mismatch with metallic substrate.</w:t>
            </w:r>
          </w:p>
        </w:tc>
        <w:tc>
          <w:tcPr>
            <w:tcW w:type="dxa" w:w="3135"/>
            <w:shd w:val="clear" w:color="auto" w:fill="FFFFFF"/>
          </w:tcPr>
          <w:p>
            <w:r>
              <w:rPr>
                <w:color w:val="1A1A2E"/>
                <w:sz w:val="20"/>
              </w:rPr>
              <w:t>CTE mismatch reduced by 6% vs. Candidate A</w:t>
            </w:r>
          </w:p>
        </w:tc>
      </w:tr>
      <w:tr>
        <w:tc>
          <w:tcPr>
            <w:tcW w:type="dxa" w:w="3135"/>
            <w:shd w:val="clear" w:color="auto" w:fill="ECF0F1"/>
          </w:tcPr>
          <w:p>
            <w:r>
              <w:rPr>
                <w:color w:val="1A1A2E"/>
                <w:sz w:val="20"/>
              </w:rPr>
              <w:t>Oxidation Mass Gain (mg/cm2)</w:t>
            </w:r>
          </w:p>
        </w:tc>
        <w:tc>
          <w:tcPr>
            <w:tcW w:type="dxa" w:w="3135"/>
            <w:shd w:val="clear" w:color="auto" w:fill="ECF0F1"/>
          </w:tcPr>
          <w:p>
            <w:r>
              <w:rPr>
                <w:color w:val="1A1A2E"/>
                <w:sz w:val="20"/>
              </w:rPr>
              <w:t>Measures oxide scale growth rate. Industry limit: &lt;10 mg/cm2 at 1400°C over operational life.</w:t>
            </w:r>
          </w:p>
        </w:tc>
        <w:tc>
          <w:tcPr>
            <w:tcW w:type="dxa" w:w="3135"/>
            <w:shd w:val="clear" w:color="auto" w:fill="ECF0F1"/>
          </w:tcPr>
          <w:p>
            <w:r>
              <w:rPr>
                <w:color w:val="1A1A2E"/>
                <w:sz w:val="20"/>
              </w:rPr>
              <w:t>7.5 mg/cm2 — within safe limit</w:t>
            </w:r>
          </w:p>
        </w:tc>
      </w:tr>
      <w:tr>
        <w:tc>
          <w:tcPr>
            <w:tcW w:type="dxa" w:w="3135"/>
            <w:shd w:val="clear" w:color="auto" w:fill="FFFFFF"/>
          </w:tcPr>
          <w:p>
            <w:r>
              <w:rPr>
                <w:color w:val="1A1A2E"/>
                <w:sz w:val="20"/>
              </w:rPr>
              <w:t>Yield Strength at 1400K</w:t>
            </w:r>
          </w:p>
        </w:tc>
        <w:tc>
          <w:tcPr>
            <w:tcW w:type="dxa" w:w="3135"/>
            <w:shd w:val="clear" w:color="auto" w:fill="FFFFFF"/>
          </w:tcPr>
          <w:p>
            <w:r>
              <w:rPr>
                <w:color w:val="1A1A2E"/>
                <w:sz w:val="20"/>
              </w:rPr>
              <w:t>Must exceed applied stress under 15,000 RPM centrifugal loading to maintain structural integrity.</w:t>
            </w:r>
          </w:p>
        </w:tc>
        <w:tc>
          <w:tcPr>
            <w:tcW w:type="dxa" w:w="3135"/>
            <w:shd w:val="clear" w:color="auto" w:fill="FFFFFF"/>
          </w:tcPr>
          <w:p>
            <w:r>
              <w:rPr>
                <w:color w:val="1A1A2E"/>
                <w:sz w:val="20"/>
              </w:rPr>
              <w:t>Predicted &gt;917 MPa</w:t>
            </w:r>
          </w:p>
        </w:tc>
      </w:tr>
      <w:tr>
        <w:tc>
          <w:tcPr>
            <w:tcW w:type="dxa" w:w="3135"/>
            <w:shd w:val="clear" w:color="auto" w:fill="ECF0F1"/>
          </w:tcPr>
          <w:p>
            <w:r>
              <w:rPr>
                <w:color w:val="1A1A2E"/>
                <w:sz w:val="20"/>
              </w:rPr>
              <w:t>Mixing Enthalpy (Miedema model)</w:t>
            </w:r>
          </w:p>
        </w:tc>
        <w:tc>
          <w:tcPr>
            <w:tcW w:type="dxa" w:w="3135"/>
            <w:shd w:val="clear" w:color="auto" w:fill="ECF0F1"/>
          </w:tcPr>
          <w:p>
            <w:r>
              <w:rPr>
                <w:color w:val="1A1A2E"/>
                <w:sz w:val="20"/>
              </w:rPr>
              <w:t>Thermodynamic screening: negative or near-zero mixing enthalpy favours solid-solution formation over intermetallics.</w:t>
            </w:r>
          </w:p>
        </w:tc>
        <w:tc>
          <w:tcPr>
            <w:tcW w:type="dxa" w:w="3135"/>
            <w:shd w:val="clear" w:color="auto" w:fill="ECF0F1"/>
          </w:tcPr>
          <w:p>
            <w:r>
              <w:rPr>
                <w:color w:val="1A1A2E"/>
                <w:sz w:val="20"/>
              </w:rPr>
              <w:t>Confirmed favourable for BCC phase</w:t>
            </w:r>
          </w:p>
        </w:tc>
      </w:tr>
      <w:tr>
        <w:tc>
          <w:tcPr>
            <w:tcW w:type="dxa" w:w="3135"/>
            <w:shd w:val="clear" w:color="auto" w:fill="FFFFFF"/>
          </w:tcPr>
          <w:p>
            <w:r>
              <w:rPr>
                <w:color w:val="1A1A2E"/>
                <w:sz w:val="20"/>
              </w:rPr>
              <w:t>Atomic Size Mismatch (delta)</w:t>
            </w:r>
          </w:p>
        </w:tc>
        <w:tc>
          <w:tcPr>
            <w:tcW w:type="dxa" w:w="3135"/>
            <w:shd w:val="clear" w:color="auto" w:fill="FFFFFF"/>
          </w:tcPr>
          <w:p>
            <w:r>
              <w:rPr>
                <w:color w:val="1A1A2E"/>
                <w:sz w:val="20"/>
              </w:rPr>
              <w:t>Controls lattice distortion. Must be delta &lt;= 6.6% for solid-solution stability (Hume-Rothery-like criterion for HEAs).</w:t>
            </w:r>
          </w:p>
        </w:tc>
        <w:tc>
          <w:tcPr>
            <w:tcW w:type="dxa" w:w="3135"/>
            <w:shd w:val="clear" w:color="auto" w:fill="FFFFFF"/>
          </w:tcPr>
          <w:p>
            <w:r>
              <w:rPr>
                <w:color w:val="1A1A2E"/>
                <w:sz w:val="20"/>
              </w:rPr>
              <w:t>Maintained within 6.6% threshold</w:t>
            </w:r>
          </w:p>
        </w:tc>
      </w:tr>
      <w:tr>
        <w:tc>
          <w:tcPr>
            <w:tcW w:type="dxa" w:w="3135"/>
            <w:shd w:val="clear" w:color="auto" w:fill="ECF0F1"/>
          </w:tcPr>
          <w:p>
            <w:r>
              <w:rPr>
                <w:color w:val="1A1A2E"/>
                <w:sz w:val="20"/>
              </w:rPr>
              <w:t>Gibbs Free Energy of Sigma Phase</w:t>
            </w:r>
          </w:p>
        </w:tc>
        <w:tc>
          <w:tcPr>
            <w:tcW w:type="dxa" w:w="3135"/>
            <w:shd w:val="clear" w:color="auto" w:fill="ECF0F1"/>
          </w:tcPr>
          <w:p>
            <w:r>
              <w:rPr>
                <w:color w:val="1A1A2E"/>
                <w:sz w:val="20"/>
              </w:rPr>
              <w:t>Must remain positive relative to BCC across operating temperature range — ensures sigma phase is thermodynamically unfavourable.</w:t>
            </w:r>
          </w:p>
        </w:tc>
        <w:tc>
          <w:tcPr>
            <w:tcW w:type="dxa" w:w="3135"/>
            <w:shd w:val="clear" w:color="auto" w:fill="ECF0F1"/>
          </w:tcPr>
          <w:p>
            <w:r>
              <w:rPr>
                <w:color w:val="1A1A2E"/>
                <w:sz w:val="20"/>
              </w:rPr>
              <w:t>Positive across 300-3000K (CALPHAD)</w:t>
            </w:r>
          </w:p>
        </w:tc>
      </w:tr>
      <w:tr>
        <w:tc>
          <w:tcPr>
            <w:tcW w:type="dxa" w:w="3135"/>
            <w:shd w:val="clear" w:color="auto" w:fill="FFFFFF"/>
          </w:tcPr>
          <w:p>
            <w:r>
              <w:rPr>
                <w:color w:val="1A1A2E"/>
                <w:sz w:val="20"/>
              </w:rPr>
              <w:t>Interface Shear Stress (MPa)</w:t>
            </w:r>
          </w:p>
        </w:tc>
        <w:tc>
          <w:tcPr>
            <w:tcW w:type="dxa" w:w="3135"/>
            <w:shd w:val="clear" w:color="auto" w:fill="FFFFFF"/>
          </w:tcPr>
          <w:p>
            <w:r>
              <w:rPr>
                <w:color w:val="1A1A2E"/>
                <w:sz w:val="20"/>
              </w:rPr>
              <w:t>Drives delamination. Eliminated by n=1.1 FGM gradient.</w:t>
            </w:r>
          </w:p>
        </w:tc>
        <w:tc>
          <w:tcPr>
            <w:tcW w:type="dxa" w:w="3135"/>
            <w:shd w:val="clear" w:color="auto" w:fill="FFFFFF"/>
          </w:tcPr>
          <w:p>
            <w:r>
              <w:rPr>
                <w:color w:val="1A1A2E"/>
                <w:sz w:val="20"/>
              </w:rPr>
              <w:t>15.95 MPa — delamination-safe</w:t>
            </w:r>
          </w:p>
        </w:tc>
      </w:tr>
    </w:tbl>
    <w:p/>
    <w:p>
      <w:pPr>
        <w:spacing w:before="160" w:after="40"/>
      </w:pPr>
      <w:r>
        <w:rPr>
          <w:b/>
          <w:color w:val="145930"/>
          <w:sz w:val="23"/>
        </w:rPr>
        <w:t>Why This Is a Market-Disrupting Material — Current Limitations vs. Our Approach: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B1D51"/>
          </w:tcPr>
          <w:p>
            <w:r>
              <w:rPr>
                <w:b/>
                <w:color w:val="FFFFFF"/>
                <w:sz w:val="20"/>
              </w:rPr>
              <w:t>Limitation in Current Materials</w:t>
            </w:r>
          </w:p>
        </w:tc>
        <w:tc>
          <w:tcPr>
            <w:tcW w:type="dxa" w:w="4703"/>
            <w:shd w:val="clear" w:color="auto" w:fill="0B1D51"/>
          </w:tcPr>
          <w:p>
            <w:r>
              <w:rPr>
                <w:b/>
                <w:color w:val="FFFFFF"/>
                <w:sz w:val="20"/>
              </w:rPr>
              <w:t>Our Solution</w:t>
            </w:r>
          </w:p>
        </w:tc>
      </w:tr>
      <w:tr>
        <w:tc>
          <w:tcPr>
            <w:tcW w:type="dxa" w:w="4703"/>
            <w:shd w:val="clear" w:color="auto" w:fill="ECF0F1"/>
          </w:tcPr>
          <w:p>
            <w:r>
              <w:rPr>
                <w:color w:val="1A1A2E"/>
                <w:sz w:val="20"/>
              </w:rPr>
              <w:t>Ni-superalloys (CMSX-4) hit thermal ceiling at ~1100-1150°C operational TET</w:t>
            </w:r>
          </w:p>
        </w:tc>
        <w:tc>
          <w:tcPr>
            <w:tcW w:type="dxa" w:w="4703"/>
            <w:shd w:val="clear" w:color="auto" w:fill="ECF0F1"/>
          </w:tcPr>
          <w:p>
            <w:r>
              <w:rPr>
                <w:color w:val="1A1A2E"/>
                <w:sz w:val="20"/>
              </w:rPr>
              <w:t>9-element RHEA substrate designed for 1400°C (1673K) stable operation</w:t>
            </w:r>
          </w:p>
        </w:tc>
      </w:tr>
      <w:tr>
        <w:tc>
          <w:tcPr>
            <w:tcW w:type="dxa" w:w="4703"/>
            <w:shd w:val="clear" w:color="auto" w:fill="FFFFFF"/>
          </w:tcPr>
          <w:p>
            <w:r>
              <w:rPr>
                <w:color w:val="1A1A2E"/>
                <w:sz w:val="20"/>
              </w:rPr>
              <w:t>YSZ TBC dissolves in CMAS above 1240°C — limits operational temperature</w:t>
            </w:r>
          </w:p>
        </w:tc>
        <w:tc>
          <w:tcPr>
            <w:tcW w:type="dxa" w:w="4703"/>
            <w:shd w:val="clear" w:color="auto" w:fill="FFFFFF"/>
          </w:tcPr>
          <w:p>
            <w:r>
              <w:rPr>
                <w:color w:val="1A1A2E"/>
                <w:sz w:val="20"/>
              </w:rPr>
              <w:t>LZO (La2Zr2O7) ceramic — thermodynamically stable against CMAS at 1400°C</w:t>
            </w:r>
          </w:p>
        </w:tc>
      </w:tr>
      <w:tr>
        <w:tc>
          <w:tcPr>
            <w:tcW w:type="dxa" w:w="4703"/>
            <w:shd w:val="clear" w:color="auto" w:fill="ECF0F1"/>
          </w:tcPr>
          <w:p>
            <w:r>
              <w:rPr>
                <w:color w:val="1A1A2E"/>
                <w:sz w:val="20"/>
              </w:rPr>
              <w:t>Sharp metal-ceramic interface causes CTE mismatch delamination under thermal cycling</w:t>
            </w:r>
          </w:p>
        </w:tc>
        <w:tc>
          <w:tcPr>
            <w:tcW w:type="dxa" w:w="4703"/>
            <w:shd w:val="clear" w:color="auto" w:fill="ECF0F1"/>
          </w:tcPr>
          <w:p>
            <w:r>
              <w:rPr>
                <w:color w:val="1A1A2E"/>
                <w:sz w:val="20"/>
              </w:rPr>
              <w:t>11-layer FGM gradient eliminates sharp interface — shear stress reduced to 15.95 MPa</w:t>
            </w:r>
          </w:p>
        </w:tc>
      </w:tr>
      <w:tr>
        <w:tc>
          <w:tcPr>
            <w:tcW w:type="dxa" w:w="4703"/>
            <w:shd w:val="clear" w:color="auto" w:fill="FFFFFF"/>
          </w:tcPr>
          <w:p>
            <w:r>
              <w:rPr>
                <w:color w:val="1A1A2E"/>
                <w:sz w:val="20"/>
              </w:rPr>
              <w:t>Heavy Hafnium dependence creates supply chain risk and cost volatility</w:t>
            </w:r>
          </w:p>
        </w:tc>
        <w:tc>
          <w:tcPr>
            <w:tcW w:type="dxa" w:w="4703"/>
            <w:shd w:val="clear" w:color="auto" w:fill="FFFFFF"/>
          </w:tcPr>
          <w:p>
            <w:r>
              <w:rPr>
                <w:color w:val="1A1A2E"/>
                <w:sz w:val="20"/>
              </w:rPr>
              <w:t>&gt;75% Hf reduction achieved through AI-guided compositional optimization</w:t>
            </w:r>
          </w:p>
        </w:tc>
      </w:tr>
      <w:tr>
        <w:tc>
          <w:tcPr>
            <w:tcW w:type="dxa" w:w="4703"/>
            <w:shd w:val="clear" w:color="auto" w:fill="ECF0F1"/>
          </w:tcPr>
          <w:p>
            <w:r>
              <w:rPr>
                <w:color w:val="1A1A2E"/>
                <w:sz w:val="20"/>
              </w:rPr>
              <w:t>Drilled cooling holes create Kt &gt;= 3.0 stress concentrations — crack initiation sites</w:t>
            </w:r>
          </w:p>
        </w:tc>
        <w:tc>
          <w:tcPr>
            <w:tcW w:type="dxa" w:w="4703"/>
            <w:shd w:val="clear" w:color="auto" w:fill="ECF0F1"/>
          </w:tcPr>
          <w:p>
            <w:r>
              <w:rPr>
                <w:color w:val="1A1A2E"/>
                <w:sz w:val="20"/>
              </w:rPr>
              <w:t>Transpiration micro-porous network replaces holes — uniform cooling, zero Kt amplification</w:t>
            </w:r>
          </w:p>
        </w:tc>
      </w:tr>
      <w:tr>
        <w:tc>
          <w:tcPr>
            <w:tcW w:type="dxa" w:w="4703"/>
            <w:shd w:val="clear" w:color="auto" w:fill="FFFFFF"/>
          </w:tcPr>
          <w:p>
            <w:r>
              <w:rPr>
                <w:color w:val="1A1A2E"/>
                <w:sz w:val="20"/>
              </w:rPr>
              <w:t>Each new alloy takes 10-15 years and + to develop experimentally</w:t>
            </w:r>
          </w:p>
        </w:tc>
        <w:tc>
          <w:tcPr>
            <w:tcW w:type="dxa" w:w="4703"/>
            <w:shd w:val="clear" w:color="auto" w:fill="FFFFFF"/>
          </w:tcPr>
          <w:p>
            <w:r>
              <w:rPr>
                <w:color w:val="1A1A2E"/>
                <w:sz w:val="20"/>
              </w:rPr>
              <w:t>Physics-informed AI platform identifies candidates in weeks, TRL 3+ validated computationally</w:t>
            </w:r>
          </w:p>
        </w:tc>
      </w:tr>
    </w:tbl>
    <w:p/>
    <w:p>
      <w:pPr>
        <w:spacing w:before="100" w:after="100"/>
      </w:pPr>
      <w:r>
        <w:rPr>
          <w:color w:val="BBBBBB"/>
          <w:sz w:val="14"/>
        </w:rPr>
        <w:t>━━━━━━━━━━━━━━━━━━━━━━━━━━━━━━━━━━━━━━━━━━━━━━━━━━━━━━━━━━━━━━━━━━━━━━━━━━━━━━━━━━</w:t>
      </w:r>
    </w:p>
    <w:p>
      <w:pPr>
        <w:spacing w:before="280" w:after="60"/>
      </w:pPr>
      <w:r>
        <w:rPr>
          <w:b/>
          <w:color w:val="0B1D51"/>
          <w:sz w:val="26"/>
          <w:u w:val="single"/>
        </w:rPr>
        <w:t>4. What We Can Do In-House — Crystal Paradigm's Own Capabilities</w:t>
      </w:r>
    </w:p>
    <w:p>
      <w:pPr>
        <w:spacing w:before="20" w:after="100"/>
      </w:pPr>
      <w:r>
        <w:rPr>
          <w:color w:val="1A1A2E"/>
          <w:sz w:val="21"/>
        </w:rPr>
        <w:t>Crystal Paradigm's current experimental capability is entry-level. The significant majority of our validated work to date is computational. Here is what we can execute independently:</w:t>
      </w:r>
    </w:p>
    <w:p>
      <w:pPr>
        <w:pStyle w:val="ListBullet"/>
        <w:spacing w:before="20" w:after="60"/>
      </w:pPr>
      <w:r>
        <w:rPr>
          <w:color w:val="1A1A2E"/>
          <w:sz w:val="21"/>
        </w:rPr>
      </w:r>
      <w:r>
        <w:rPr>
          <w:b/>
          <w:color w:val="1A1A2E"/>
          <w:sz w:val="21"/>
        </w:rPr>
        <w:t>Computational platform</w:t>
      </w:r>
      <w:r>
        <w:rPr>
          <w:color w:val="1A1A2E"/>
          <w:sz w:val="21"/>
        </w:rPr>
        <w:t xml:space="preserve"> (our own): Full ML pipeline, constrained optimizer, 1D thermoelastic FEA screening, CALPHAD phase predictions, and Molecular Dynamics oxidation simulations. All software tools are in-house.</w:t>
      </w:r>
    </w:p>
    <w:p>
      <w:pPr>
        <w:pStyle w:val="ListBullet"/>
        <w:spacing w:before="20" w:after="60"/>
      </w:pPr>
      <w:r>
        <w:rPr>
          <w:color w:val="1A1A2E"/>
          <w:sz w:val="21"/>
        </w:rPr>
      </w:r>
      <w:r>
        <w:rPr>
          <w:b/>
          <w:color w:val="1A1A2E"/>
          <w:sz w:val="21"/>
        </w:rPr>
        <w:t>High-performance cloud</w:t>
      </w:r>
      <w:r>
        <w:rPr>
          <w:color w:val="1A1A2E"/>
          <w:sz w:val="21"/>
        </w:rPr>
        <w:t xml:space="preserve"> computing: Extended 3D FEniCS FEA runs (20,000+ thermal cycles) and MACE/CHGNet Molecular Dynamics on 20,000-atom supercells — outsourced to AWS/Google Cloud HPC.</w:t>
      </w:r>
    </w:p>
    <w:p>
      <w:pPr>
        <w:pStyle w:val="ListBullet"/>
        <w:spacing w:before="20" w:after="60"/>
      </w:pPr>
      <w:r>
        <w:rPr>
          <w:color w:val="1A1A2E"/>
          <w:sz w:val="21"/>
        </w:rPr>
      </w:r>
      <w:r>
        <w:rPr>
          <w:b/>
          <w:color w:val="1A1A2E"/>
          <w:sz w:val="21"/>
        </w:rPr>
        <w:t>Powder composition mixing</w:t>
      </w:r>
      <w:r>
        <w:rPr>
          <w:color w:val="1A1A2E"/>
          <w:sz w:val="21"/>
        </w:rPr>
        <w:t xml:space="preserve"> and basic sample preparation: Mechanical alloying of elemental powders in controlled ratios under inert atmosphere (with glove box to be procured). Basic sintered pellet preparation for preliminary screening.</w:t>
      </w:r>
    </w:p>
    <w:p>
      <w:pPr>
        <w:pStyle w:val="ListBullet"/>
        <w:spacing w:before="20" w:after="60"/>
      </w:pPr>
      <w:r>
        <w:rPr>
          <w:color w:val="1A1A2E"/>
          <w:sz w:val="21"/>
        </w:rPr>
      </w:r>
      <w:r>
        <w:rPr>
          <w:b/>
          <w:color w:val="1A1A2E"/>
          <w:sz w:val="21"/>
        </w:rPr>
        <w:t>Basic hardness</w:t>
      </w:r>
      <w:r>
        <w:rPr>
          <w:color w:val="1A1A2E"/>
          <w:sz w:val="21"/>
        </w:rPr>
        <w:t xml:space="preserve"> and room-temperature mechanical testing: If Vickers hardness testing or basic tensile screening is available locally, we can run initial room-temperature property checks on sintered samples.</w:t>
      </w:r>
    </w:p>
    <w:p>
      <w:pPr>
        <w:pStyle w:val="ListBullet"/>
        <w:spacing w:before="20" w:after="60"/>
      </w:pPr>
      <w:r>
        <w:rPr>
          <w:color w:val="1A1A2E"/>
          <w:sz w:val="21"/>
        </w:rPr>
      </w:r>
      <w:r>
        <w:rPr>
          <w:b/>
          <w:color w:val="1A1A2E"/>
          <w:sz w:val="21"/>
        </w:rPr>
        <w:t>Phase prediction</w:t>
      </w:r>
      <w:r>
        <w:rPr>
          <w:color w:val="1A1A2E"/>
          <w:sz w:val="21"/>
        </w:rPr>
        <w:t xml:space="preserve"> and thermodynamic modelling: CALPHAD-based phase diagram calculations for any target composition — fully in-house via TCHEA4 database access.</w:t>
      </w:r>
    </w:p>
    <w:p>
      <w:pPr>
        <w:pStyle w:val="ListBullet"/>
        <w:spacing w:before="20" w:after="60"/>
      </w:pPr>
      <w:r>
        <w:rPr>
          <w:color w:val="1A1A2E"/>
          <w:sz w:val="21"/>
        </w:rPr>
      </w:r>
      <w:r>
        <w:rPr>
          <w:b/>
          <w:color w:val="1A1A2E"/>
          <w:sz w:val="21"/>
        </w:rPr>
        <w:t>Manufacturing recipe</w:t>
      </w:r>
      <w:r>
        <w:rPr>
          <w:color w:val="1A1A2E"/>
          <w:sz w:val="21"/>
        </w:rPr>
        <w:t xml:space="preserve"> generation: Our LENS recipe (manufacturing_recipe.csv) defining layer-wise powder ratios, laser power, and scan speed is fully generated and ready to transfer to any compatible LENS system.</w:t>
      </w:r>
    </w:p>
    <w:p>
      <w:pPr>
        <w:spacing w:before="100" w:after="100"/>
      </w:pPr>
      <w:r>
        <w:rPr>
          <w:color w:val="BBBBBB"/>
          <w:sz w:val="14"/>
        </w:rPr>
        <w:t>━━━━━━━━━━━━━━━━━━━━━━━━━━━━━━━━━━━━━━━━━━━━━━━━━━━━━━━━━━━━━━━━━━━━━━━━━━━━━━━━━━</w:t>
      </w:r>
    </w:p>
    <w:p>
      <w:pPr>
        <w:spacing w:before="280" w:after="60"/>
      </w:pPr>
      <w:r>
        <w:rPr>
          <w:b/>
          <w:color w:val="0B1D51"/>
          <w:sz w:val="26"/>
          <w:u w:val="single"/>
        </w:rPr>
        <w:t>5. What We Need from IIT Delhi CRF — Advanced Equipment &amp; Expertise</w:t>
      </w:r>
    </w:p>
    <w:p>
      <w:pPr>
        <w:spacing w:before="20" w:after="100"/>
      </w:pPr>
      <w:r>
        <w:rPr>
          <w:color w:val="1A1A2E"/>
          <w:sz w:val="21"/>
        </w:rPr>
        <w:t>The following characterization and fabrication capabilities are beyond our in-house reach and are specifically available at IIT Delhi's Central Research Facility (CRF). This is the core reason we have applied to SCIDIP.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1D51"/>
          </w:tcPr>
          <w:p>
            <w:r>
              <w:rPr>
                <w:b/>
                <w:color w:val="FFFFFF"/>
                <w:sz w:val="20"/>
              </w:rPr>
              <w:t>Equipment Needed</w:t>
            </w:r>
          </w:p>
        </w:tc>
        <w:tc>
          <w:tcPr>
            <w:tcW w:type="dxa" w:w="3135"/>
            <w:shd w:val="clear" w:color="auto" w:fill="0B1D51"/>
          </w:tcPr>
          <w:p>
            <w:r>
              <w:rPr>
                <w:b/>
                <w:color w:val="FFFFFF"/>
                <w:sz w:val="20"/>
              </w:rPr>
              <w:t>Why We Need It</w:t>
            </w:r>
          </w:p>
        </w:tc>
        <w:tc>
          <w:tcPr>
            <w:tcW w:type="dxa" w:w="3135"/>
            <w:shd w:val="clear" w:color="auto" w:fill="0B1D51"/>
          </w:tcPr>
          <w:p>
            <w:r>
              <w:rPr>
                <w:b/>
                <w:color w:val="FFFFFF"/>
                <w:sz w:val="20"/>
              </w:rPr>
              <w:t>What It Confirms</w:t>
            </w:r>
          </w:p>
        </w:tc>
      </w:tr>
      <w:tr>
        <w:tc>
          <w:tcPr>
            <w:tcW w:type="dxa" w:w="3135"/>
            <w:shd w:val="clear" w:color="auto" w:fill="ECF0F1"/>
          </w:tcPr>
          <w:p>
            <w:r>
              <w:rPr>
                <w:color w:val="1A1A2E"/>
                <w:sz w:val="20"/>
              </w:rPr>
              <w:t>LENS/DED Multi-Hopper Additive Manufacturing System</w:t>
            </w:r>
          </w:p>
        </w:tc>
        <w:tc>
          <w:tcPr>
            <w:tcW w:type="dxa" w:w="3135"/>
            <w:shd w:val="clear" w:color="auto" w:fill="ECF0F1"/>
          </w:tcPr>
          <w:p>
            <w:r>
              <w:rPr>
                <w:color w:val="1A1A2E"/>
                <w:sz w:val="20"/>
              </w:rPr>
              <w:t>Our 11-layer FGM requires simultaneous dual-powder feeding (RHEA alloy + LZO ceramic) in a single build. No private Indian lab has this for refractory powder systems.</w:t>
            </w:r>
          </w:p>
        </w:tc>
        <w:tc>
          <w:tcPr>
            <w:tcW w:type="dxa" w:w="3135"/>
            <w:shd w:val="clear" w:color="auto" w:fill="ECF0F1"/>
          </w:tcPr>
          <w:p>
            <w:r>
              <w:rPr>
                <w:color w:val="1A1A2E"/>
                <w:sz w:val="20"/>
              </w:rPr>
              <w:t>Physically fabricates our first HE-MCGA witness coupons for all downstream testing</w:t>
            </w:r>
          </w:p>
        </w:tc>
      </w:tr>
      <w:tr>
        <w:tc>
          <w:tcPr>
            <w:tcW w:type="dxa" w:w="3135"/>
            <w:shd w:val="clear" w:color="auto" w:fill="FFFFFF"/>
          </w:tcPr>
          <w:p>
            <w:r>
              <w:rPr>
                <w:color w:val="1A1A2E"/>
                <w:sz w:val="20"/>
              </w:rPr>
              <w:t>Simultaneous Thermal Analyzer (STA) — up to 1500°C</w:t>
            </w:r>
          </w:p>
        </w:tc>
        <w:tc>
          <w:tcPr>
            <w:tcW w:type="dxa" w:w="3135"/>
            <w:shd w:val="clear" w:color="auto" w:fill="FFFFFF"/>
          </w:tcPr>
          <w:p>
            <w:r>
              <w:rPr>
                <w:color w:val="1A1A2E"/>
                <w:sz w:val="20"/>
              </w:rPr>
              <w:t>TGA (oxidation mass gain measurement) and DSC (phase transition heat flow) at 1400-1500°C. Our alloy operates at 1400°C — characterization must exceed this. Standard lab STA maxes at 1200-1300°C.</w:t>
            </w:r>
          </w:p>
        </w:tc>
        <w:tc>
          <w:tcPr>
            <w:tcW w:type="dxa" w:w="3135"/>
            <w:shd w:val="clear" w:color="auto" w:fill="FFFFFF"/>
          </w:tcPr>
          <w:p>
            <w:r>
              <w:rPr>
                <w:color w:val="1A1A2E"/>
                <w:sz w:val="20"/>
              </w:rPr>
              <w:t>Empirically confirms oxidation mass gain &lt;10 mg/cm2 (our computation predicts 7.5 mg/cm2)</w:t>
            </w:r>
          </w:p>
        </w:tc>
      </w:tr>
      <w:tr>
        <w:tc>
          <w:tcPr>
            <w:tcW w:type="dxa" w:w="3135"/>
            <w:shd w:val="clear" w:color="auto" w:fill="ECF0F1"/>
          </w:tcPr>
          <w:p>
            <w:r>
              <w:rPr>
                <w:color w:val="1A1A2E"/>
                <w:sz w:val="20"/>
              </w:rPr>
              <w:t>High-Temperature X-Ray Diffraction (HT-XRD)</w:t>
            </w:r>
          </w:p>
        </w:tc>
        <w:tc>
          <w:tcPr>
            <w:tcW w:type="dxa" w:w="3135"/>
            <w:shd w:val="clear" w:color="auto" w:fill="ECF0F1"/>
          </w:tcPr>
          <w:p>
            <w:r>
              <w:rPr>
                <w:color w:val="1A1A2E"/>
                <w:sz w:val="20"/>
              </w:rPr>
              <w:t>Must detect BCC vs. sigma-phase transitions IN SITU at 873-1173K during heating. Room-temperature XRD cannot detect transformations that occur only at high temperature.</w:t>
            </w:r>
          </w:p>
        </w:tc>
        <w:tc>
          <w:tcPr>
            <w:tcW w:type="dxa" w:w="3135"/>
            <w:shd w:val="clear" w:color="auto" w:fill="ECF0F1"/>
          </w:tcPr>
          <w:p>
            <w:r>
              <w:rPr>
                <w:color w:val="1A1A2E"/>
                <w:sz w:val="20"/>
              </w:rPr>
              <w:t>Confirms single-phase BCC retention across operational temperature window — no sigma-phase</w:t>
            </w:r>
          </w:p>
        </w:tc>
      </w:tr>
      <w:tr>
        <w:tc>
          <w:tcPr>
            <w:tcW w:type="dxa" w:w="3135"/>
            <w:shd w:val="clear" w:color="auto" w:fill="FFFFFF"/>
          </w:tcPr>
          <w:p>
            <w:r>
              <w:rPr>
                <w:color w:val="1A1A2E"/>
                <w:sz w:val="20"/>
              </w:rPr>
              <w:t>SEM/EDS (Scanning Electron Microscope + Energy Dispersive X-ray Spectroscopy)</w:t>
            </w:r>
          </w:p>
        </w:tc>
        <w:tc>
          <w:tcPr>
            <w:tcW w:type="dxa" w:w="3135"/>
            <w:shd w:val="clear" w:color="auto" w:fill="FFFFFF"/>
          </w:tcPr>
          <w:p>
            <w:r>
              <w:rPr>
                <w:color w:val="1A1A2E"/>
                <w:sz w:val="20"/>
              </w:rPr>
              <w:t>Maps chemical composition layer-by-layer across our 5mm FGM zone with micron-scale resolution. Verifies actual vs. designed gradient profile post-fabrication and post-thermal cycling.</w:t>
            </w:r>
          </w:p>
        </w:tc>
        <w:tc>
          <w:tcPr>
            <w:tcW w:type="dxa" w:w="3135"/>
            <w:shd w:val="clear" w:color="auto" w:fill="FFFFFF"/>
          </w:tcPr>
          <w:p>
            <w:r>
              <w:rPr>
                <w:color w:val="1A1A2E"/>
                <w:sz w:val="20"/>
              </w:rPr>
              <w:t>Layer-wise compositional accuracy, zero processing voids, zero delamination after cycling</w:t>
            </w:r>
          </w:p>
        </w:tc>
      </w:tr>
      <w:tr>
        <w:tc>
          <w:tcPr>
            <w:tcW w:type="dxa" w:w="3135"/>
            <w:shd w:val="clear" w:color="auto" w:fill="ECF0F1"/>
          </w:tcPr>
          <w:p>
            <w:r>
              <w:rPr>
                <w:color w:val="1A1A2E"/>
                <w:sz w:val="20"/>
              </w:rPr>
              <w:t>High-Temperature Tube Furnace — 1600°C</w:t>
            </w:r>
          </w:p>
        </w:tc>
        <w:tc>
          <w:tcPr>
            <w:tcW w:type="dxa" w:w="3135"/>
            <w:shd w:val="clear" w:color="auto" w:fill="ECF0F1"/>
          </w:tcPr>
          <w:p>
            <w:r>
              <w:rPr>
                <w:color w:val="1A1A2E"/>
                <w:sz w:val="20"/>
              </w:rPr>
              <w:t>Automated 1000-cycle thermal shock testing at 1400°C. Simulates real turbine thermal cycling fatigue life. Required to physically stress-test our FGM for spallation and crack propagation.</w:t>
            </w:r>
          </w:p>
        </w:tc>
        <w:tc>
          <w:tcPr>
            <w:tcW w:type="dxa" w:w="3135"/>
            <w:shd w:val="clear" w:color="auto" w:fill="ECF0F1"/>
          </w:tcPr>
          <w:p>
            <w:r>
              <w:rPr>
                <w:color w:val="1A1A2E"/>
                <w:sz w:val="20"/>
              </w:rPr>
              <w:t>Physical coupon survives 1000 thermal cycles without delamination or spallation</w:t>
            </w:r>
          </w:p>
        </w:tc>
      </w:tr>
      <w:tr>
        <w:tc>
          <w:tcPr>
            <w:tcW w:type="dxa" w:w="3135"/>
            <w:shd w:val="clear" w:color="auto" w:fill="FFFFFF"/>
          </w:tcPr>
          <w:p>
            <w:r>
              <w:rPr>
                <w:color w:val="1A1A2E"/>
                <w:sz w:val="20"/>
              </w:rPr>
              <w:t>Faculty Expertise in High-Temperature Materials</w:t>
            </w:r>
          </w:p>
        </w:tc>
        <w:tc>
          <w:tcPr>
            <w:tcW w:type="dxa" w:w="3135"/>
            <w:shd w:val="clear" w:color="auto" w:fill="FFFFFF"/>
          </w:tcPr>
          <w:p>
            <w:r>
              <w:rPr>
                <w:color w:val="1A1A2E"/>
                <w:sz w:val="20"/>
              </w:rPr>
              <w:t>IIT Delhi faculty in Materials Science and Mechanical Engineering with published work on refractory alloys, TBCs, and high-temperature characterization — critical for experimental protocol design and interpretation.</w:t>
            </w:r>
          </w:p>
        </w:tc>
        <w:tc>
          <w:tcPr>
            <w:tcW w:type="dxa" w:w="3135"/>
            <w:shd w:val="clear" w:color="auto" w:fill="FFFFFF"/>
          </w:tcPr>
          <w:p>
            <w:r>
              <w:rPr>
                <w:color w:val="1A1A2E"/>
                <w:sz w:val="20"/>
              </w:rPr>
              <w:t>Ensures physical experiments are designed correctly, data is interpreted accurately</w:t>
            </w:r>
          </w:p>
        </w:tc>
      </w:tr>
    </w:tbl>
    <w:p/>
    <w:p>
      <w:pPr>
        <w:spacing w:before="100" w:after="100"/>
      </w:pPr>
      <w:r>
        <w:rPr>
          <w:color w:val="BBBBBB"/>
          <w:sz w:val="14"/>
        </w:rPr>
        <w:t>━━━━━━━━━━━━━━━━━━━━━━━━━━━━━━━━━━━━━━━━━━━━━━━━━━━━━━━━━━━━━━━━━━━━━━━━━━━━━━━━━━</w:t>
      </w:r>
    </w:p>
    <w:p>
      <w:pPr>
        <w:spacing w:before="280" w:after="60"/>
      </w:pPr>
      <w:r>
        <w:rPr>
          <w:b/>
          <w:color w:val="0B1D51"/>
          <w:sz w:val="26"/>
          <w:u w:val="single"/>
        </w:rPr>
        <w:t>6. The Crux — What This Project Is and Where It Is Going</w:t>
      </w:r>
    </w:p>
    <w:p>
      <w:pPr>
        <w:spacing w:before="120" w:after="120"/>
      </w:pPr>
      <w:r>
        <w:rPr>
          <w:b/>
          <w:color w:val="0B1D51"/>
          <w:sz w:val="22"/>
        </w:rPr>
        <w:t>Crystal Paradigm has computationally engineered a 9-element Refractory High-Entropy Alloy fused with an 11-layer Functionally Graded LZO ceramic coating — a next-generation material system designed to operate at 1400°C with zero delamination, CMAS resistance, 75%+ Hafnium reduction, and a validated 3D Safety Factor of 1.71. The platform is at TRL 3+: patent filed, Q1-SCI paper published, manufacturing recipe ready. The only missing step is physical fabrication and empirical validation — which requires IIT Delhi CRF's LENS system, STA, high-temp XRD, and SEM/EDS.</w:t>
      </w:r>
    </w:p>
    <w:p>
      <w:pPr>
        <w:spacing w:before="20" w:after="100"/>
      </w:pPr>
      <w:r>
        <w:rPr>
          <w:color w:val="1A1A2E"/>
          <w:sz w:val="21"/>
        </w:rPr>
        <w:t>We have been selected through two rigorous evaluation rounds of the Sona Comstar — IIT Delhi Innovation Program (SCIDIP 2026) — a program that provides: up to Rs.80 Lakhs grant funding, 24 months incubation at IIT Delhi, IIT Delhi faculty mentorship, lab infrastructure access, Sona Comstar industry connect, and investor network access. The final event at IIT Delhi is the last step before grant disbursement begins.</w:t>
      </w:r>
    </w:p>
    <w:p>
      <w:pPr>
        <w:spacing w:before="160" w:after="40"/>
      </w:pPr>
      <w:r>
        <w:rPr>
          <w:b/>
          <w:color w:val="145930"/>
          <w:sz w:val="23"/>
        </w:rPr>
        <w:t>What We Are Asking from SCIDIP in Brief:</w:t>
      </w:r>
    </w:p>
    <w:p>
      <w:pPr>
        <w:pStyle w:val="ListBullet"/>
        <w:spacing w:before="20" w:after="60"/>
      </w:pPr>
      <w:r>
        <w:rPr>
          <w:color w:val="1A1A2E"/>
          <w:sz w:val="21"/>
        </w:rPr>
        <w:t xml:space="preserve">Access to </w:t>
      </w:r>
      <w:r>
        <w:rPr>
          <w:b/>
          <w:color w:val="1A1A2E"/>
          <w:sz w:val="21"/>
        </w:rPr>
        <w:t>IIT Delhi CRF</w:t>
      </w:r>
      <w:r>
        <w:rPr>
          <w:color w:val="1A1A2E"/>
          <w:sz w:val="21"/>
        </w:rPr>
        <w:t>: LENS/DED fabrication, STA, HT-XRD, SEM/EDS, High-temp furnace — to physically validate our computational results at TRL 4/5</w:t>
      </w:r>
    </w:p>
    <w:p>
      <w:pPr>
        <w:pStyle w:val="ListBullet"/>
        <w:spacing w:before="20" w:after="60"/>
      </w:pPr>
      <w:r>
        <w:rPr>
          <w:color w:val="1A1A2E"/>
          <w:sz w:val="21"/>
        </w:rPr>
        <w:t>Grant funding (</w:t>
      </w:r>
      <w:r>
        <w:rPr>
          <w:b/>
          <w:color w:val="1A1A2E"/>
          <w:sz w:val="21"/>
        </w:rPr>
        <w:t>~Rs. 65 Lakhs</w:t>
      </w:r>
      <w:r>
        <w:rPr>
          <w:color w:val="1A1A2E"/>
          <w:sz w:val="21"/>
        </w:rPr>
        <w:t>): To cover refractory powder procurement, fabrication runs, characterization costs, and research personnel</w:t>
      </w:r>
    </w:p>
    <w:p>
      <w:pPr>
        <w:pStyle w:val="ListBullet"/>
        <w:spacing w:before="20" w:after="60"/>
      </w:pPr>
      <w:r>
        <w:rPr>
          <w:color w:val="1A1A2E"/>
          <w:sz w:val="21"/>
        </w:rPr>
        <w:t xml:space="preserve">IIT Delhi </w:t>
      </w:r>
      <w:r>
        <w:rPr>
          <w:b/>
          <w:color w:val="1A1A2E"/>
          <w:sz w:val="21"/>
        </w:rPr>
        <w:t>faculty mentorship</w:t>
      </w:r>
      <w:r>
        <w:rPr>
          <w:color w:val="1A1A2E"/>
          <w:sz w:val="21"/>
        </w:rPr>
        <w:t>: Experimental protocol design and high-temperature materials characterization expertise</w:t>
      </w:r>
    </w:p>
    <w:p>
      <w:pPr>
        <w:pStyle w:val="ListBullet"/>
        <w:spacing w:before="20" w:after="60"/>
      </w:pPr>
      <w:r>
        <w:rPr>
          <w:color w:val="1A1A2E"/>
          <w:sz w:val="21"/>
        </w:rPr>
      </w:r>
      <w:r>
        <w:rPr>
          <w:b/>
          <w:color w:val="1A1A2E"/>
          <w:sz w:val="21"/>
        </w:rPr>
        <w:t>Sona Comstar</w:t>
      </w:r>
      <w:r>
        <w:rPr>
          <w:color w:val="1A1A2E"/>
          <w:sz w:val="21"/>
        </w:rPr>
        <w:t xml:space="preserve"> industry connect: Map our validated material into their precision forging die (H13 tool steel replacement) and EV motor (SRM stator) supply chain</w:t>
      </w:r>
    </w:p>
    <w:p>
      <w:pPr>
        <w:spacing w:before="20" w:after="100"/>
      </w:pPr>
      <w:r>
        <w:rPr>
          <w:color w:val="1A1A2E"/>
          <w:sz w:val="21"/>
        </w:rPr>
        <w:t>Success at SCIDIP = TRL 5 physical hardware + Sona Comstar commercialization pathway + foundation for licensing to global aerospace OEMs. This is not a research exercise — it is a manufacturing-ready platform one physical validation step away from industry deployment.</w:t>
      </w:r>
    </w:p>
    <w:p>
      <w:pPr>
        <w:spacing w:before="100" w:after="100"/>
      </w:pPr>
      <w:r>
        <w:rPr>
          <w:color w:val="BBBBBB"/>
          <w:sz w:val="14"/>
        </w:rPr>
        <w:t>━━━━━━━━━━━━━━━━━━━━━━━━━━━━━━━━━━━━━━━━━━━━━━━━━━━━━━━━━━━━━━━━━━━━━━━━━━━━━━━━━━</w:t>
      </w:r>
    </w:p>
    <w:p>
      <w:pPr>
        <w:jc w:val="center"/>
      </w:pPr>
      <w:r>
        <w:rPr>
          <w:i/>
          <w:color w:val="555555"/>
          <w:sz w:val="18"/>
        </w:rPr>
        <w:t>Crystal Paradigm Private Limited  |  crystalparadigm.in  |  khub.crystalparadigm@gmail.com</w:t>
      </w:r>
    </w:p>
    <w:p>
      <w:pPr>
        <w:spacing w:before="100" w:after="100"/>
      </w:pPr>
      <w:r>
        <w:rPr>
          <w:color w:val="BBBBBB"/>
          <w:sz w:val="14"/>
        </w:rPr>
        <w:t>━━━━━━━━━━━━━━━━━━━━━━━━━━━━━━━━━━━━━━━━━━━━━━━━━━━━━━━━━━━━━━━━━━━━━━━━━━━━━━━━━━</w:t>
      </w:r>
    </w:p>
    <w:p>
      <w:pPr>
        <w:spacing w:before="280" w:after="60"/>
      </w:pPr>
      <w:r>
        <w:rPr>
          <w:b/>
          <w:color w:val="0B1D51"/>
          <w:sz w:val="26"/>
          <w:u w:val="single"/>
        </w:rPr>
        <w:t>7. Final Crux — Three Layers of What Crystal Paradigm Has Actually Delivered</w:t>
      </w:r>
    </w:p>
    <w:p>
      <w:pPr>
        <w:spacing w:before="20" w:after="100"/>
      </w:pPr>
      <w:r>
        <w:rPr>
          <w:color w:val="1A1A2E"/>
          <w:sz w:val="21"/>
        </w:rPr>
        <w:t>To be precise, this project is not just a material recommendation or a simulation exercise. It has three distinct, tangible deliverables stacked on top of each other — each one independently valuable, and together forming a complete end-to-end solution:</w:t>
      </w:r>
    </w:p>
    <w:p>
      <w:pPr>
        <w:spacing w:before="160" w:after="40"/>
      </w:pPr>
      <w:r>
        <w:rPr>
          <w:b/>
          <w:color w:val="145930"/>
          <w:sz w:val="23"/>
        </w:rPr>
        <w:t>Layer 1 — The Inverse Design Pipeline (AI-Driven Materials Discovery)</w:t>
      </w:r>
    </w:p>
    <w:p>
      <w:pPr>
        <w:spacing w:before="20" w:after="100"/>
      </w:pPr>
      <w:r>
        <w:rPr>
          <w:color w:val="1A1A2E"/>
          <w:sz w:val="21"/>
        </w:rPr>
        <w:t>We built a closed-loop computational pipeline that takes a set of engineering requirements (target temperature, stress, oxidation limit) as input and outputs the optimal alloy composition as output — working backwards from performance to chemistry. This is inverse design. Most materials discovery works forward: make a material, test it, iterate. Ours works in reverse: define the property target, let the AI search the composition space, validate computationally, then hand off to fabrication. This pipeline spans ML surrogate modelling, constrained multi-objective optimization, 1D/3D finite element analysis, CALPHAD thermodynamics, and molecular dynamics oxidation simulation. It is physics-informed at every stage — not black-box.</w:t>
      </w:r>
    </w:p>
    <w:p>
      <w:pPr>
        <w:spacing w:before="160" w:after="40"/>
      </w:pPr>
      <w:r>
        <w:rPr>
          <w:b/>
          <w:color w:val="145930"/>
          <w:sz w:val="23"/>
        </w:rPr>
        <w:t>Layer 2 — The Top Candidate Materials (Advanced Materials Discovery Output)</w:t>
      </w:r>
    </w:p>
    <w:p>
      <w:pPr>
        <w:spacing w:before="20" w:after="100"/>
      </w:pPr>
      <w:r>
        <w:rPr>
          <w:color w:val="1A1A2E"/>
          <w:sz w:val="21"/>
        </w:rPr>
        <w:t>The pipeline produced multiple ranked candidate alloys in the refractory HEA space. Our top validated candidate is a 9-element RHEA in the Ta-W-Cr-V-Ti-Hf-Zr-Nb system, fused with a 11-layer LZO-ceramic FGM architecture. The exact molar fractions are patent-protected (Indian Patent App No: 202641084226). The candidate has been validated against six quantitative engineering go/no-go gates:</w:t>
      </w:r>
    </w:p>
    <w:p>
      <w:pPr>
        <w:pStyle w:val="ListBullet"/>
        <w:spacing w:before="20" w:after="60"/>
      </w:pPr>
      <w:r>
        <w:rPr>
          <w:color w:val="1A1A2E"/>
          <w:sz w:val="21"/>
        </w:rPr>
      </w:r>
      <w:r>
        <w:rPr>
          <w:b/>
          <w:color w:val="1A1A2E"/>
          <w:sz w:val="21"/>
        </w:rPr>
        <w:t>Safety Factor 1.71</w:t>
      </w:r>
      <w:r>
        <w:rPr>
          <w:color w:val="1A1A2E"/>
          <w:sz w:val="21"/>
        </w:rPr>
        <w:t xml:space="preserve"> (target &gt;= 1.50) under 15,000 RPM + 1400°C combined loading</w:t>
      </w:r>
    </w:p>
    <w:p>
      <w:pPr>
        <w:pStyle w:val="ListBullet"/>
        <w:spacing w:before="20" w:after="60"/>
      </w:pPr>
      <w:r>
        <w:rPr>
          <w:color w:val="1A1A2E"/>
          <w:sz w:val="21"/>
        </w:rPr>
        <w:t xml:space="preserve">Oxidation mass gain </w:t>
      </w:r>
      <w:r>
        <w:rPr>
          <w:b/>
          <w:color w:val="1A1A2E"/>
          <w:sz w:val="21"/>
        </w:rPr>
        <w:t>7.5 mg/cm2</w:t>
      </w:r>
      <w:r>
        <w:rPr>
          <w:color w:val="1A1A2E"/>
          <w:sz w:val="21"/>
        </w:rPr>
        <w:t xml:space="preserve"> (target &lt; 10 mg/cm2) at 1400°C</w:t>
      </w:r>
    </w:p>
    <w:p>
      <w:pPr>
        <w:pStyle w:val="ListBullet"/>
        <w:spacing w:before="20" w:after="60"/>
      </w:pPr>
      <w:r>
        <w:rPr>
          <w:color w:val="1A1A2E"/>
          <w:sz w:val="21"/>
        </w:rPr>
        <w:t>Single-phase BCC confirmed (</w:t>
      </w:r>
      <w:r>
        <w:rPr>
          <w:b/>
          <w:color w:val="1A1A2E"/>
          <w:sz w:val="21"/>
        </w:rPr>
        <w:t>VEC = 5.02</w:t>
      </w:r>
      <w:r>
        <w:rPr>
          <w:color w:val="1A1A2E"/>
          <w:sz w:val="21"/>
        </w:rPr>
        <w:t>), zero sigma-phase risk</w:t>
      </w:r>
    </w:p>
    <w:p>
      <w:pPr>
        <w:pStyle w:val="ListBullet"/>
        <w:spacing w:before="20" w:after="60"/>
      </w:pPr>
      <w:r>
        <w:rPr>
          <w:color w:val="1A1A2E"/>
          <w:sz w:val="21"/>
        </w:rPr>
        <w:t xml:space="preserve">Interface shear stress </w:t>
      </w:r>
      <w:r>
        <w:rPr>
          <w:b/>
          <w:color w:val="1A1A2E"/>
          <w:sz w:val="21"/>
        </w:rPr>
        <w:t>15.95 MPa</w:t>
      </w:r>
      <w:r>
        <w:rPr>
          <w:color w:val="1A1A2E"/>
          <w:sz w:val="21"/>
        </w:rPr>
        <w:t xml:space="preserve"> — FGM gradient prevents delamination</w:t>
      </w:r>
    </w:p>
    <w:p>
      <w:pPr>
        <w:pStyle w:val="ListBullet"/>
        <w:spacing w:before="20" w:after="60"/>
      </w:pPr>
      <w:r>
        <w:rPr>
          <w:color w:val="1A1A2E"/>
          <w:sz w:val="21"/>
        </w:rPr>
      </w:r>
      <w:r>
        <w:rPr>
          <w:b/>
          <w:color w:val="1A1A2E"/>
          <w:sz w:val="21"/>
        </w:rPr>
        <w:t>&gt;75%</w:t>
      </w:r>
      <w:r>
        <w:rPr>
          <w:color w:val="1A1A2E"/>
          <w:sz w:val="21"/>
        </w:rPr>
        <w:t xml:space="preserve"> Hafnium reduction vs. CMSX-4 baseline</w:t>
      </w:r>
    </w:p>
    <w:p>
      <w:pPr>
        <w:pStyle w:val="ListBullet"/>
        <w:spacing w:before="20" w:after="60"/>
      </w:pPr>
      <w:r>
        <w:rPr>
          <w:color w:val="1A1A2E"/>
          <w:sz w:val="21"/>
        </w:rPr>
      </w:r>
      <w:r>
        <w:rPr>
          <w:b/>
          <w:color w:val="1A1A2E"/>
          <w:sz w:val="21"/>
        </w:rPr>
        <w:t>Manufacturing recipe generated</w:t>
      </w:r>
      <w:r>
        <w:rPr>
          <w:color w:val="1A1A2E"/>
          <w:sz w:val="21"/>
        </w:rPr>
        <w:t xml:space="preserve"> and ready for LENS fabrication</w:t>
      </w:r>
    </w:p>
    <w:p>
      <w:pPr>
        <w:spacing w:before="20" w:after="100"/>
      </w:pPr>
      <w:r>
        <w:rPr>
          <w:color w:val="1A1A2E"/>
          <w:sz w:val="21"/>
        </w:rPr>
        <w:t>A Q1-SCI publication (Next Materials, 2026) has been co-authored presenting the discovery methodology and initial validation results.</w:t>
      </w:r>
    </w:p>
    <w:p>
      <w:pPr>
        <w:spacing w:before="160" w:after="40"/>
      </w:pPr>
      <w:r>
        <w:rPr>
          <w:b/>
          <w:color w:val="145930"/>
          <w:sz w:val="23"/>
        </w:rPr>
        <w:t>Layer 3 — The Exact Manufacturing Recipe (From Computation to Factory Floor)</w:t>
      </w:r>
    </w:p>
    <w:p>
      <w:pPr>
        <w:spacing w:before="20" w:after="100"/>
      </w:pPr>
      <w:r>
        <w:rPr>
          <w:color w:val="1A1A2E"/>
          <w:sz w:val="21"/>
        </w:rPr>
        <w:t>This is the most practically elite deliverable of the project and the one that separates it from academic simulation work. We have generated a hardware-agnostic, discrete 11-layer LENS manufacturing recipe (manufacturing_recipe.csv) that specifies, layer by layer:</w:t>
      </w:r>
    </w:p>
    <w:p>
      <w:pPr>
        <w:pStyle w:val="ListBullet"/>
        <w:spacing w:before="20" w:after="60"/>
      </w:pPr>
      <w:r>
        <w:rPr>
          <w:color w:val="1A1A2E"/>
          <w:sz w:val="21"/>
        </w:rPr>
        <w:t xml:space="preserve">The exact </w:t>
      </w:r>
      <w:r>
        <w:rPr>
          <w:b/>
          <w:color w:val="1A1A2E"/>
          <w:sz w:val="21"/>
        </w:rPr>
        <w:t>volume fraction</w:t>
      </w:r>
      <w:r>
        <w:rPr>
          <w:color w:val="1A1A2E"/>
          <w:sz w:val="21"/>
        </w:rPr>
        <w:t xml:space="preserve"> of RHEA alloy powder and LZO ceramic powder per layer</w:t>
      </w:r>
    </w:p>
    <w:p>
      <w:pPr>
        <w:pStyle w:val="ListBullet"/>
        <w:spacing w:before="20" w:after="60"/>
      </w:pPr>
      <w:r>
        <w:rPr>
          <w:color w:val="1A1A2E"/>
          <w:sz w:val="21"/>
        </w:rPr>
      </w:r>
      <w:r>
        <w:rPr>
          <w:b/>
          <w:color w:val="1A1A2E"/>
          <w:sz w:val="21"/>
        </w:rPr>
        <w:t>Laser power</w:t>
      </w:r>
      <w:r>
        <w:rPr>
          <w:color w:val="1A1A2E"/>
          <w:sz w:val="21"/>
        </w:rPr>
        <w:t>: 200-400 W (layer-specific, calibrated to refractory melting points)</w:t>
      </w:r>
    </w:p>
    <w:p>
      <w:pPr>
        <w:pStyle w:val="ListBullet"/>
        <w:spacing w:before="20" w:after="60"/>
      </w:pPr>
      <w:r>
        <w:rPr>
          <w:color w:val="1A1A2E"/>
          <w:sz w:val="21"/>
        </w:rPr>
      </w:r>
      <w:r>
        <w:rPr>
          <w:b/>
          <w:color w:val="1A1A2E"/>
          <w:sz w:val="21"/>
        </w:rPr>
        <w:t>Scan speed</w:t>
      </w:r>
      <w:r>
        <w:rPr>
          <w:color w:val="1A1A2E"/>
          <w:sz w:val="21"/>
        </w:rPr>
        <w:t>: 500-1000 mm/min (controls layer thickness and porosity)</w:t>
      </w:r>
    </w:p>
    <w:p>
      <w:pPr>
        <w:pStyle w:val="ListBullet"/>
        <w:spacing w:before="20" w:after="60"/>
      </w:pPr>
      <w:r>
        <w:rPr>
          <w:color w:val="1A1A2E"/>
          <w:sz w:val="21"/>
        </w:rPr>
      </w:r>
      <w:r>
        <w:rPr>
          <w:b/>
          <w:color w:val="1A1A2E"/>
          <w:sz w:val="21"/>
        </w:rPr>
        <w:t>Dual-hopper</w:t>
      </w:r>
      <w:r>
        <w:rPr>
          <w:color w:val="1A1A2E"/>
          <w:sz w:val="21"/>
        </w:rPr>
        <w:t xml:space="preserve"> powder feed rates — defining how much alloy vs. ceramic flows at each layer</w:t>
      </w:r>
    </w:p>
    <w:p>
      <w:pPr>
        <w:pStyle w:val="ListBullet"/>
        <w:spacing w:before="20" w:after="60"/>
      </w:pPr>
      <w:r>
        <w:rPr>
          <w:color w:val="1A1A2E"/>
          <w:sz w:val="21"/>
        </w:rPr>
        <w:t xml:space="preserve">Thermal relaxation protocol: 1200°C vacuum anneal for 4 hours post-deposition to reduce residual tensile stress from 50-150 MPa to </w:t>
      </w:r>
      <w:r>
        <w:rPr>
          <w:b/>
          <w:color w:val="1A1A2E"/>
          <w:sz w:val="21"/>
        </w:rPr>
        <w:t>&lt;30 MPa</w:t>
      </w:r>
      <w:r>
        <w:rPr>
          <w:color w:val="1A1A2E"/>
          <w:sz w:val="21"/>
        </w:rPr>
      </w:r>
    </w:p>
    <w:p>
      <w:pPr>
        <w:spacing w:before="20" w:after="100"/>
      </w:pPr>
      <w:r>
        <w:rPr>
          <w:color w:val="1A1A2E"/>
          <w:sz w:val="21"/>
        </w:rPr>
        <w:t>This recipe is designed to work on any compatible multi-hopper LENS / DED system. It is not a concept — it is a production-ready file that can be loaded directly onto IIT Delhi CRF's LENS system and executed. The transition from computation to physical coupon is a single LENS run away.</w:t>
      </w:r>
    </w:p>
    <w:p>
      <w:pPr>
        <w:spacing w:before="100" w:after="100"/>
      </w:pPr>
      <w:r>
        <w:rPr>
          <w:color w:val="BBBBBB"/>
          <w:sz w:val="14"/>
        </w:rPr>
        <w:t>━━━━━━━━━━━━━━━━━━━━━━━━━━━━━━━━━━━━━━━━━━━━━━━━━━━━━━━━━━━━━━━━━━━━━━━━━━━━━━━━━━</w:t>
      </w:r>
    </w:p>
    <w:p>
      <w:pPr>
        <w:spacing w:before="120" w:after="120"/>
        <w:jc w:val="center"/>
      </w:pPr>
      <w:r>
        <w:rPr>
          <w:b/>
          <w:color w:val="0B1D51"/>
          <w:sz w:val="23"/>
        </w:rPr>
        <w:t>Layer 1: We built the pipeline that finds the material.</w:t>
        <w:br/>
        <w:t>Layer 2: We found the material — and proved it computationally.</w:t>
        <w:br/>
        <w:t>Layer 3: We wrote the exact recipe to make it physically.</w:t>
        <w:br/>
        <w:br/>
        <w:t>SCIDIP + IIT Delhi CRF is the one step that turns the recipe into a real coupon</w:t>
        <w:br/>
        <w:t>and the coupon into an industry-certified material.</w:t>
      </w:r>
    </w:p>
    <w:p>
      <w:pPr>
        <w:spacing w:before="100" w:after="100"/>
      </w:pPr>
      <w:r>
        <w:rPr>
          <w:color w:val="BBBBBB"/>
          <w:sz w:val="14"/>
        </w:rPr>
        <w:t>━━━━━━━━━━━━━━━━━━━━━━━━━━━━━━━━━━━━━━━━━━━━━━━━━━━━━━━━━━━━━━━━━━━━━━━━━━━━━━━━━━</w:t>
      </w:r>
    </w:p>
    <w:p>
      <w:pPr>
        <w:jc w:val="center"/>
      </w:pPr>
      <w:r>
        <w:rPr>
          <w:i/>
          <w:color w:val="555555"/>
          <w:sz w:val="18"/>
        </w:rPr>
        <w:t>Crystal Paradigm Private Limited  |  crystalparadigm.in  |  khub.crystalparadigm@gmail.com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