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D51"/>
          <w:sz w:val="32"/>
        </w:rPr>
        <w:t>CRYSTAL PARADIGM — SCIDIP FOUNDER BRIEFING</w:t>
      </w:r>
    </w:p>
    <w:p>
      <w:pPr>
        <w:jc w:val="center"/>
      </w:pPr>
      <w:r>
        <w:rPr>
          <w:i/>
          <w:color w:val="444444"/>
          <w:sz w:val="20"/>
        </w:rPr>
        <w:t>Sona Comstar — IIT Delhi Innovation Program 2026  |  HE-MCGA Project Brief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B1D51"/>
          <w:sz w:val="28"/>
          <w:u w:val="single"/>
        </w:rPr>
        <w:t>1. What is the SCIDIP Program?</w:t>
      </w:r>
    </w:p>
    <w:p>
      <w:pPr>
        <w:spacing w:before="20" w:after="80"/>
      </w:pPr>
      <w:r>
        <w:rPr>
          <w:color w:val="1A1A2E"/>
          <w:sz w:val="21"/>
        </w:rPr>
        <w:t>SCIDIP — Sona Comstar IIT Delhi Innovation Program — is a flagship deep-tech startup incubation program run jointly by FITT IIT Delhi and Sona Comstar. Now in its 6th consecutive edition (Year 2025-26), it runs a national open call targeting startups working on Smart, Safe and Clean mobility technologies.</w:t>
      </w:r>
    </w:p>
    <w:p>
      <w:pPr>
        <w:spacing w:before="160" w:after="20"/>
      </w:pPr>
      <w:r>
        <w:rPr>
          <w:b/>
          <w:color w:val="C07A00"/>
          <w:sz w:val="23"/>
        </w:rPr>
        <w:t>Key Program Facts: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Total Grant Pool: </w:t>
      </w:r>
      <w:r>
        <w:rPr>
          <w:b/>
          <w:color w:val="1A1A2E"/>
          <w:sz w:val="20"/>
        </w:rPr>
        <w:t>Rs.1.6 Crore</w:t>
      </w:r>
      <w:r>
        <w:rPr>
          <w:color w:val="1A1A2E"/>
          <w:sz w:val="20"/>
        </w:rPr>
        <w:t xml:space="preserve"> across 5-6 selected startups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Grant per startup: Up to </w:t>
      </w:r>
      <w:r>
        <w:rPr>
          <w:b/>
          <w:color w:val="1A1A2E"/>
          <w:sz w:val="20"/>
        </w:rPr>
        <w:t>Rs.80 Lakhs</w:t>
      </w:r>
      <w:r>
        <w:rPr>
          <w:color w:val="1A1A2E"/>
          <w:sz w:val="20"/>
        </w:rPr>
        <w:t xml:space="preserve"> as non-dilutive Grant-in-Aid — no equity taken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Incubation duration: </w:t>
      </w:r>
      <w:r>
        <w:rPr>
          <w:b/>
          <w:color w:val="1A1A2E"/>
          <w:sz w:val="20"/>
        </w:rPr>
        <w:t>24 months</w:t>
      </w:r>
      <w:r>
        <w:rPr>
          <w:color w:val="1A1A2E"/>
          <w:sz w:val="20"/>
        </w:rPr>
        <w:t>, milestone-linked across 5 funding tranches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Selection: </w:t>
      </w:r>
      <w:r>
        <w:rPr>
          <w:b/>
          <w:color w:val="1A1A2E"/>
          <w:sz w:val="20"/>
        </w:rPr>
        <w:t>2 rigorous rounds</w:t>
      </w:r>
      <w:r>
        <w:rPr>
          <w:color w:val="1A1A2E"/>
          <w:sz w:val="20"/>
        </w:rPr>
        <w:t xml:space="preserve"> — Technical Expert Panel, then Techno-Commercial evaluation by investors + industry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Focus Areas: EV Technologies, Advanced Batteries, </w:t>
      </w:r>
      <w:r>
        <w:rPr>
          <w:b/>
          <w:color w:val="1A1A2E"/>
          <w:sz w:val="20"/>
        </w:rPr>
        <w:t>Advanced Materials</w:t>
      </w:r>
      <w:r>
        <w:rPr>
          <w:color w:val="1A1A2E"/>
          <w:sz w:val="20"/>
        </w:rPr>
        <w:t>, Industry 4.0, Autonomous Vehicles, Sustainability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We have </w:t>
      </w:r>
      <w:r>
        <w:rPr>
          <w:b/>
          <w:color w:val="1A1A2E"/>
          <w:sz w:val="20"/>
        </w:rPr>
        <w:t>cleared BOTH rounds</w:t>
      </w:r>
      <w:r>
        <w:rPr>
          <w:color w:val="1A1A2E"/>
          <w:sz w:val="20"/>
        </w:rPr>
        <w:t xml:space="preserve"> and are now invited for the final presentation at IIT Delhi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B1D51"/>
          <w:sz w:val="28"/>
          <w:u w:val="single"/>
        </w:rPr>
        <w:t>2. Who is FITT IIT Delhi?</w:t>
      </w:r>
    </w:p>
    <w:p>
      <w:pPr>
        <w:spacing w:before="20" w:after="80"/>
      </w:pPr>
      <w:r>
        <w:rPr>
          <w:color w:val="1A1A2E"/>
          <w:sz w:val="21"/>
        </w:rPr>
        <w:t>FITT — Foundation for Innovation and Technology Transfer — is the official Industry Interface and Technology Commercialization arm of IIT Delhi. It is the primary bridge between IIT Delhi's world-class academic research and real-world industrial deployment.</w:t>
      </w:r>
    </w:p>
    <w:p>
      <w:pPr>
        <w:spacing w:before="160" w:after="20"/>
      </w:pPr>
      <w:r>
        <w:rPr>
          <w:b/>
          <w:color w:val="C07A00"/>
          <w:sz w:val="23"/>
        </w:rPr>
        <w:t>What FITT Does: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Manages </w:t>
      </w:r>
      <w:r>
        <w:rPr>
          <w:b/>
          <w:color w:val="1A1A2E"/>
          <w:sz w:val="20"/>
        </w:rPr>
        <w:t>Rs.300+ Crore</w:t>
      </w:r>
      <w:r>
        <w:rPr>
          <w:color w:val="1A1A2E"/>
          <w:sz w:val="20"/>
        </w:rPr>
        <w:t xml:space="preserve"> in R&amp;D contracts with industry annually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Operates NIDHI-CoE, Atal Incubation Centre (AIC) and BioNEST — has incubated </w:t>
      </w:r>
      <w:r>
        <w:rPr>
          <w:b/>
          <w:color w:val="1A1A2E"/>
          <w:sz w:val="20"/>
        </w:rPr>
        <w:t>200+ deep-tech startups</w:t>
      </w:r>
      <w:r>
        <w:rPr>
          <w:color w:val="1A1A2E"/>
          <w:sz w:val="20"/>
        </w:rPr>
      </w:r>
    </w:p>
    <w:p>
      <w:pPr>
        <w:pStyle w:val="ListBullet"/>
        <w:spacing w:before="20" w:after="40"/>
      </w:pPr>
      <w:r>
        <w:rPr>
          <w:color w:val="1A1A2E"/>
          <w:sz w:val="20"/>
        </w:rPr>
        <w:t>Provides access to IIT Delhi CRF: STA (1500°C), LENS/DED, XRD, SEM/EDS — India's most advanced materials characterization cluster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Connects startups to VC/investor network, IP filing cell, Sona Comstar corporate ecosystem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Active aerospace R&amp;D collaborations with </w:t>
      </w:r>
      <w:r>
        <w:rPr>
          <w:b/>
          <w:color w:val="1A1A2E"/>
          <w:sz w:val="20"/>
        </w:rPr>
        <w:t>DRDO, HAL, ISRO</w:t>
      </w:r>
      <w:r>
        <w:rPr>
          <w:color w:val="1A1A2E"/>
          <w:sz w:val="20"/>
        </w:rPr>
        <w:t xml:space="preserve"> and international OEMs</w:t>
      </w:r>
    </w:p>
    <w:p>
      <w:pPr>
        <w:spacing w:before="160" w:after="20"/>
      </w:pPr>
      <w:r>
        <w:rPr>
          <w:b/>
          <w:color w:val="C07A00"/>
          <w:sz w:val="23"/>
        </w:rPr>
        <w:t>4 SCIDIP Program Objectives (from official poster):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IIT Delhi &amp; Sona Comstar </w:t>
      </w:r>
      <w:r>
        <w:rPr>
          <w:b/>
          <w:color w:val="1A1A2E"/>
          <w:sz w:val="20"/>
        </w:rPr>
        <w:t>mentorship</w:t>
      </w:r>
      <w:r>
        <w:rPr>
          <w:color w:val="1A1A2E"/>
          <w:sz w:val="20"/>
        </w:rPr>
        <w:t xml:space="preserve"> from academia, industry experts and selected startup support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Technology &amp; Infrastructure Support: </w:t>
      </w:r>
      <w:r>
        <w:rPr>
          <w:b/>
          <w:color w:val="1A1A2E"/>
          <w:sz w:val="20"/>
        </w:rPr>
        <w:t>Lab access</w:t>
      </w:r>
      <w:r>
        <w:rPr>
          <w:color w:val="1A1A2E"/>
          <w:sz w:val="20"/>
        </w:rPr>
        <w:t xml:space="preserve"> at IIT Delhi CRF and Sona Comstar facilities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Access to </w:t>
      </w:r>
      <w:r>
        <w:rPr>
          <w:b/>
          <w:color w:val="1A1A2E"/>
          <w:sz w:val="20"/>
        </w:rPr>
        <w:t>Corporate Market Connect</w:t>
      </w:r>
      <w:r>
        <w:rPr>
          <w:color w:val="1A1A2E"/>
          <w:sz w:val="20"/>
        </w:rPr>
        <w:t>: Network of potential partners, investors and industry experts</w:t>
      </w:r>
    </w:p>
    <w:p>
      <w:pPr>
        <w:pStyle w:val="ListBullet"/>
        <w:spacing w:before="20" w:after="4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Rs.1.6 Cr</w:t>
      </w:r>
      <w:r>
        <w:rPr>
          <w:color w:val="1A1A2E"/>
          <w:sz w:val="20"/>
        </w:rPr>
        <w:t xml:space="preserve"> Total Grant Pool: Prototype development grant to move from concept to physical validation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B1D51"/>
          <w:sz w:val="28"/>
          <w:u w:val="single"/>
        </w:rPr>
        <w:t>3. Who is Sona Comstar?</w:t>
      </w:r>
    </w:p>
    <w:p>
      <w:pPr>
        <w:spacing w:before="20" w:after="80"/>
      </w:pPr>
      <w:r>
        <w:rPr>
          <w:color w:val="1A1A2E"/>
          <w:sz w:val="21"/>
        </w:rPr>
        <w:t>Sona Comstar (NSE: SONACOMS) is India's leading listed automotive systems and components manufacturer — designing, manufacturing and supplying highly engineered, mission-critical automotive systems for both ICE and EV platforms globally.</w:t>
      </w:r>
    </w:p>
    <w:p>
      <w:pPr>
        <w:spacing w:before="160" w:after="20"/>
      </w:pPr>
      <w:r>
        <w:rPr>
          <w:b/>
          <w:color w:val="C07A00"/>
          <w:sz w:val="23"/>
        </w:rPr>
        <w:t>Elite Facts:</w:t>
      </w:r>
    </w:p>
    <w:p>
      <w:pPr>
        <w:pStyle w:val="ListBullet"/>
        <w:spacing w:before="20" w:after="4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9 manufacturing plants</w:t>
      </w:r>
      <w:r>
        <w:rPr>
          <w:color w:val="1A1A2E"/>
          <w:sz w:val="20"/>
        </w:rPr>
        <w:t>: India, China, Mexico, USA — Rs.3,200+ Crore revenue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Clients: Tata, Mahindra, Ather, Honda, BMW, GM, Ford — top-tier global OEM roster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Core products: Precision driveline gears, differential assemblies, magnet-less </w:t>
      </w:r>
      <w:r>
        <w:rPr>
          <w:b/>
          <w:color w:val="1A1A2E"/>
          <w:sz w:val="20"/>
        </w:rPr>
        <w:t>Switched Reluctance Motors</w:t>
      </w:r>
      <w:r>
        <w:rPr>
          <w:color w:val="1A1A2E"/>
          <w:sz w:val="20"/>
        </w:rPr>
        <w:t xml:space="preserve"> (SRM), motor control units</w:t>
      </w:r>
    </w:p>
    <w:p>
      <w:pPr>
        <w:pStyle w:val="ListBullet"/>
        <w:spacing w:before="20" w:after="4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EPIC Roadmap</w:t>
      </w:r>
      <w:r>
        <w:rPr>
          <w:color w:val="1A1A2E"/>
          <w:sz w:val="20"/>
        </w:rPr>
        <w:t>: Electric, Personalized, Intelligent, Connected — Sona Comstar's EV future vision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Their H13 forging dies and SRM stator components face the </w:t>
      </w:r>
      <w:r>
        <w:rPr>
          <w:b/>
          <w:color w:val="1A1A2E"/>
          <w:sz w:val="20"/>
        </w:rPr>
        <w:t>EXACT same thermal failure modes</w:t>
      </w:r>
      <w:r>
        <w:rPr>
          <w:color w:val="1A1A2E"/>
          <w:sz w:val="20"/>
        </w:rPr>
        <w:t xml:space="preserve"> our HE-MCGA material solves</w:t>
      </w:r>
    </w:p>
    <w:p>
      <w:pPr>
        <w:spacing w:before="160" w:after="20"/>
      </w:pPr>
      <w:r>
        <w:rPr>
          <w:b/>
          <w:color w:val="C07A00"/>
          <w:sz w:val="23"/>
        </w:rPr>
        <w:t>FITT + Sona Comstar Collaboration — Previous Call Winners:</w:t>
      </w:r>
    </w:p>
    <w:p>
      <w:pPr>
        <w:spacing w:before="20" w:after="80"/>
      </w:pPr>
      <w:r>
        <w:rPr>
          <w:color w:val="1A1A2E"/>
          <w:sz w:val="21"/>
        </w:rPr>
        <w:t>Sona Comstar partners with FITT IIT Delhi because IIT Delhi provides deep materials science infrastructure while Sona Comstar provides the real-world automotive manufacturing testbed. Together they co-fund, co-mentor and co-commercialize selected startups.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Calls 1-5 Winners include: QUANTEON POWERTRAIN, inGO Electric, CREATARA, P3C Technology, MOTOR AMA, Octarange Technologies, Calvem Controls, Aatral ESP, Dopar Energy, Baud Resources, EV Recharge, GroKalp H2CNT, Planzit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Real proof: IGNIT Technical Solutions received </w:t>
      </w:r>
      <w:r>
        <w:rPr>
          <w:b/>
          <w:color w:val="1A1A2E"/>
          <w:sz w:val="20"/>
        </w:rPr>
        <w:t>Rs.40 Lakhs</w:t>
      </w:r>
      <w:r>
        <w:rPr>
          <w:color w:val="1A1A2E"/>
          <w:sz w:val="20"/>
        </w:rPr>
        <w:t xml:space="preserve"> grant for Battery Thermal Management System under this exact program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B1D51"/>
          <w:sz w:val="28"/>
          <w:u w:val="single"/>
        </w:rPr>
        <w:t>4. Why ONLY IIT Delhi? — Not Any Other Institute or Lab</w:t>
      </w:r>
    </w:p>
    <w:p>
      <w:pPr>
        <w:spacing w:before="20" w:after="80"/>
      </w:pPr>
      <w:r>
        <w:rPr>
          <w:color w:val="1A1A2E"/>
          <w:sz w:val="21"/>
        </w:rPr>
        <w:t>This is the most important point. Our project is a physical materials validation problem requiring the most advanced characterization equipment in India. Here is precisely why IIT Delhi CRF is the only viable option for our top 3 candidates:</w:t>
      </w:r>
    </w:p>
    <w:p>
      <w:pPr>
        <w:spacing w:before="160" w:after="20"/>
      </w:pPr>
      <w:r>
        <w:rPr>
          <w:b/>
          <w:color w:val="C07A00"/>
          <w:sz w:val="23"/>
        </w:rPr>
        <w:t>Equipment Our Top Candidates Require for TRL 4 Validation:</w:t>
      </w:r>
    </w:p>
    <w:p>
      <w:pPr>
        <w:pStyle w:val="ListBullet"/>
        <w:spacing w:before="20" w:after="4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STA at 1500°C</w:t>
      </w:r>
      <w:r>
        <w:rPr>
          <w:color w:val="1A1A2E"/>
          <w:sz w:val="20"/>
        </w:rPr>
        <w:t xml:space="preserve"> (Simultaneous Thermal Analyzer): Measures oxidation mass gain and thermal stability. Our candidates must clear &lt;10 mg/cm2. Only IIT Delhi CRF has STA at this temperature range in India.</w:t>
      </w:r>
    </w:p>
    <w:p>
      <w:pPr>
        <w:pStyle w:val="ListBullet"/>
        <w:spacing w:before="20" w:after="4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High-Temperature XRD</w:t>
      </w:r>
      <w:r>
        <w:rPr>
          <w:color w:val="1A1A2E"/>
          <w:sz w:val="20"/>
        </w:rPr>
        <w:t>: Physically confirms single-phase BCC stability post-thermal exposure. CALPHAD predicts it — XRD empirically proves zero brittle sigma-phase formation after 1000 thermal cycles.</w:t>
      </w:r>
    </w:p>
    <w:p>
      <w:pPr>
        <w:pStyle w:val="ListBullet"/>
        <w:spacing w:before="20" w:after="4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SEM/EDS</w:t>
      </w:r>
      <w:r>
        <w:rPr>
          <w:color w:val="1A1A2E"/>
          <w:sz w:val="20"/>
        </w:rPr>
        <w:t xml:space="preserve"> Microscopy: Maps compositional gradients layer-by-layer across our 5mm FGM zone. Verifies zero processing voids or macro-cracks after LENS fabrication.</w:t>
      </w:r>
    </w:p>
    <w:p>
      <w:pPr>
        <w:pStyle w:val="ListBullet"/>
        <w:spacing w:before="20" w:after="4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LENS/DED</w:t>
      </w:r>
      <w:r>
        <w:rPr>
          <w:color w:val="1A1A2E"/>
          <w:sz w:val="20"/>
        </w:rPr>
        <w:t xml:space="preserve"> Additive Manufacturing: Physically fabricates our 11-layer FGM witness coupons using our proprietary multi-hopper powder recipe. No private lab in India has multi-hopper LENS capability for refractory HEAs.</w:t>
      </w:r>
    </w:p>
    <w:p>
      <w:pPr>
        <w:pStyle w:val="ListBullet"/>
        <w:spacing w:before="20" w:after="4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High-Temp Tube Furnaces</w:t>
      </w:r>
      <w:r>
        <w:rPr>
          <w:color w:val="1A1A2E"/>
          <w:sz w:val="20"/>
        </w:rPr>
        <w:t xml:space="preserve"> (1600°C): For controlled 1000+ thermal shock cycle testing at real turbine operating temperatures.</w:t>
      </w:r>
    </w:p>
    <w:p>
      <w:pPr>
        <w:spacing w:before="160" w:after="20"/>
      </w:pPr>
      <w:r>
        <w:rPr>
          <w:b/>
          <w:color w:val="C07A00"/>
          <w:sz w:val="23"/>
        </w:rPr>
        <w:t>Why No Other Option Exists: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Safran (France) — our original collaborator — has </w:t>
      </w:r>
      <w:r>
        <w:rPr>
          <w:b/>
          <w:color w:val="1A1A2E"/>
          <w:sz w:val="20"/>
        </w:rPr>
        <w:t>already REJECTED</w:t>
      </w:r>
      <w:r>
        <w:rPr>
          <w:color w:val="1A1A2E"/>
          <w:sz w:val="20"/>
        </w:rPr>
        <w:t xml:space="preserve"> the project. They cannot take it further commercially at this stage.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No private lab in India can characterize refractory 9-element RHEA + 11-layer FGM at 1400°C-1600°C. The equipment does not exist outside IIT Delhi CRF.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CSIR-IICT, NITs and IISc do not have the simultaneous combination of STA + LENS/DED + high-temp XRD that our multi-phase validation pipeline requires under one roof.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Our materials science mentor </w:t>
      </w:r>
      <w:r>
        <w:rPr>
          <w:b/>
          <w:color w:val="1A1A2E"/>
          <w:sz w:val="20"/>
        </w:rPr>
        <w:t>Dr. Kasarapu Venkataramana</w:t>
      </w:r>
      <w:r>
        <w:rPr>
          <w:color w:val="1A1A2E"/>
          <w:sz w:val="20"/>
        </w:rPr>
        <w:t xml:space="preserve"> has worked on DRDO projects at CSIR-IICT and knows exactly which Indian facility can handle this — his answer is IIT Delhi CRF.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IIT Delhi has published 500+ papers on refractory alloys, TBCs, and high-temperature materials — the faculty expertise we need for mentorship exists only there.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B1D51"/>
          <w:sz w:val="28"/>
          <w:u w:val="single"/>
        </w:rPr>
        <w:t>5. What Crystal Paradigm Has Built — The HE-MCGA Project</w:t>
      </w:r>
    </w:p>
    <w:p>
      <w:pPr>
        <w:spacing w:before="20" w:after="80"/>
      </w:pPr>
      <w:r>
        <w:rPr>
          <w:color w:val="1A1A2E"/>
          <w:sz w:val="21"/>
        </w:rPr>
        <w:t>We have computationally engineered an advanced extreme-environment material system: HE-MCGA (High-Entropy Alloy + Multi-layer Ceramic Graded Architecture). This is not theoretical research — it is a fully validated, patent-filed, manufacturing-ready computational platform at TRL 3+.</w:t>
      </w:r>
    </w:p>
    <w:p>
      <w:pPr>
        <w:spacing w:before="160" w:after="20"/>
      </w:pPr>
      <w:r>
        <w:rPr>
          <w:b/>
          <w:color w:val="C07A00"/>
          <w:sz w:val="23"/>
        </w:rPr>
        <w:t>The Two-Part Architecture: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9-Element Refractory HEA (RHEA): Engineered in the Ta-W-Cr-V-Ti-Hf-Zr-Nb space. Achieves </w:t>
      </w:r>
      <w:r>
        <w:rPr>
          <w:b/>
          <w:color w:val="1A1A2E"/>
          <w:sz w:val="20"/>
        </w:rPr>
        <w:t>&gt;917.7 MPa</w:t>
      </w:r>
      <w:r>
        <w:rPr>
          <w:color w:val="1A1A2E"/>
          <w:sz w:val="20"/>
        </w:rPr>
        <w:t xml:space="preserve"> yield strength at 1400K with single-phase BCC stability. Exact fractions are patent-protected (App No: 202641084226).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11-Layer FGM: A 5mm power-law gradient (n=1.1) from 100% metal alloy to 100% LZO ceramic. Limits interface shear to </w:t>
      </w:r>
      <w:r>
        <w:rPr>
          <w:b/>
          <w:color w:val="1A1A2E"/>
          <w:sz w:val="20"/>
        </w:rPr>
        <w:t>15.95 MPa</w:t>
      </w:r>
      <w:r>
        <w:rPr>
          <w:color w:val="1A1A2E"/>
          <w:sz w:val="20"/>
        </w:rPr>
        <w:t>, preventing delamination under 15,000 RPM centrifugal load.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Transpiration Cooling Network (TCN): Replaces drilled holes (Kt &gt;= 3.0 stress concentrations) with co-deposited micro-porous channels via selective laser sintering. Reduces parasitic bleed air by </w:t>
      </w:r>
      <w:r>
        <w:rPr>
          <w:b/>
          <w:color w:val="1A1A2E"/>
          <w:sz w:val="20"/>
        </w:rPr>
        <w:t>15%</w:t>
      </w:r>
      <w:r>
        <w:rPr>
          <w:color w:val="1A1A2E"/>
          <w:sz w:val="20"/>
        </w:rPr>
        <w:t>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B1D51"/>
          <w:sz w:val="28"/>
          <w:u w:val="single"/>
        </w:rPr>
        <w:t>5B. Our Six Engineering Objectives — With Current Status</w:t>
      </w:r>
    </w:p>
    <w:p>
      <w:pPr>
        <w:spacing w:before="20" w:after="80"/>
      </w:pPr>
      <w:r>
        <w:rPr>
          <w:color w:val="1A1A2E"/>
          <w:sz w:val="21"/>
        </w:rPr>
        <w:t>Every objective has a go/no-go gate drawn from aerospace airworthiness standards:</w:t>
      </w:r>
    </w:p>
    <w:p>
      <w:pPr>
        <w:spacing w:before="160" w:after="20"/>
      </w:pPr>
      <w:r>
        <w:rPr>
          <w:b/>
          <w:color w:val="C07A00"/>
          <w:sz w:val="23"/>
        </w:rPr>
        <w:t>Objective 1: Structural Safety Factor Certification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Target: 3D Safety Factor </w:t>
      </w:r>
      <w:r>
        <w:rPr>
          <w:b/>
          <w:color w:val="1A1A2E"/>
          <w:sz w:val="20"/>
        </w:rPr>
        <w:t>&gt;= 1.50</w:t>
      </w:r>
      <w:r>
        <w:rPr>
          <w:color w:val="1A1A2E"/>
          <w:sz w:val="20"/>
        </w:rPr>
        <w:t xml:space="preserve"> under 15,000 RPM + 1400°C combined loading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Status: ACHIEVED — 3D FEniCS FEA confirmed </w:t>
      </w:r>
      <w:r>
        <w:rPr>
          <w:b/>
          <w:color w:val="1A1A2E"/>
          <w:sz w:val="20"/>
        </w:rPr>
        <w:t>SF = 1.71</w:t>
      </w:r>
      <w:r>
        <w:rPr>
          <w:color w:val="1A1A2E"/>
          <w:sz w:val="20"/>
        </w:rPr>
        <w:t>, exceeding threshold by 14%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Next: Physical confirmation via IIT Delhi CRF thermal cycling rig + SEM/EDS</w:t>
      </w:r>
    </w:p>
    <w:p>
      <w:pPr>
        <w:spacing w:before="160" w:after="20"/>
      </w:pPr>
      <w:r>
        <w:rPr>
          <w:b/>
          <w:color w:val="C07A00"/>
          <w:sz w:val="23"/>
        </w:rPr>
        <w:t>Objective 2: Oxidation Kinetics Control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Target: Oxidation mass gain </w:t>
      </w:r>
      <w:r>
        <w:rPr>
          <w:b/>
          <w:color w:val="1A1A2E"/>
          <w:sz w:val="20"/>
        </w:rPr>
        <w:t>&lt; 10 mg/cm2</w:t>
      </w:r>
      <w:r>
        <w:rPr>
          <w:color w:val="1A1A2E"/>
          <w:sz w:val="20"/>
        </w:rPr>
        <w:t xml:space="preserve"> at 1400°C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Status: ACHIEVED — MACE + CHGNet MD on 20,000-atom supercell confirmed </w:t>
      </w:r>
      <w:r>
        <w:rPr>
          <w:b/>
          <w:color w:val="1A1A2E"/>
          <w:sz w:val="20"/>
        </w:rPr>
        <w:t>7.5 mg/cm2</w:t>
      </w:r>
      <w:r>
        <w:rPr>
          <w:color w:val="1A1A2E"/>
          <w:sz w:val="20"/>
        </w:rPr>
      </w:r>
    </w:p>
    <w:p>
      <w:pPr>
        <w:pStyle w:val="ListBullet"/>
        <w:spacing w:before="20" w:after="40"/>
      </w:pPr>
      <w:r>
        <w:rPr>
          <w:color w:val="1A1A2E"/>
          <w:sz w:val="20"/>
        </w:rPr>
        <w:t>Next: TGA on physical coupons at IIT Delhi CRF to empirically verify</w:t>
      </w:r>
    </w:p>
    <w:p>
      <w:pPr>
        <w:spacing w:before="160" w:after="20"/>
      </w:pPr>
      <w:r>
        <w:rPr>
          <w:b/>
          <w:color w:val="C07A00"/>
          <w:sz w:val="23"/>
        </w:rPr>
        <w:t>Objective 3: Phase Stability — Zero Brittle Sigma Phase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Target: Single-phase BCC (</w:t>
      </w:r>
      <w:r>
        <w:rPr>
          <w:b/>
          <w:color w:val="1A1A2E"/>
          <w:sz w:val="20"/>
        </w:rPr>
        <w:t>VEC = 5.02</w:t>
      </w:r>
      <w:r>
        <w:rPr>
          <w:color w:val="1A1A2E"/>
          <w:sz w:val="20"/>
        </w:rPr>
        <w:t>), zero sigma phase across 873-1173K window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Status: </w:t>
      </w:r>
      <w:r>
        <w:rPr>
          <w:b/>
          <w:color w:val="1A1A2E"/>
          <w:sz w:val="20"/>
        </w:rPr>
        <w:t>CONFIRMED</w:t>
      </w:r>
      <w:r>
        <w:rPr>
          <w:color w:val="1A1A2E"/>
          <w:sz w:val="20"/>
        </w:rPr>
        <w:t xml:space="preserve"> — CALPHAD TCHEA4 (300K-3000K) + Gradient Boosting R2 = 0.958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Next: High-temperature XRD at IIT Delhi CRF to physically verify BCC retention post thermal cycling</w:t>
      </w:r>
    </w:p>
    <w:p>
      <w:pPr>
        <w:spacing w:before="160" w:after="20"/>
      </w:pPr>
      <w:r>
        <w:rPr>
          <w:b/>
          <w:color w:val="C07A00"/>
          <w:sz w:val="23"/>
        </w:rPr>
        <w:t>Objective 4: Interface Shear Stress Minimization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Target: Interface shear stress </w:t>
      </w:r>
      <w:r>
        <w:rPr>
          <w:b/>
          <w:color w:val="1A1A2E"/>
          <w:sz w:val="20"/>
        </w:rPr>
        <w:t>&lt; 20 MPa</w:t>
      </w:r>
      <w:r>
        <w:rPr>
          <w:color w:val="1A1A2E"/>
          <w:sz w:val="20"/>
        </w:rPr>
        <w:t xml:space="preserve"> to prevent FGM delamination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Status: ACHIEVED — Power-law gradient n=1.1 restricts shear to </w:t>
      </w:r>
      <w:r>
        <w:rPr>
          <w:b/>
          <w:color w:val="1A1A2E"/>
          <w:sz w:val="20"/>
        </w:rPr>
        <w:t>15.95 MPa</w:t>
      </w:r>
      <w:r>
        <w:rPr>
          <w:color w:val="1A1A2E"/>
          <w:sz w:val="20"/>
        </w:rPr>
      </w:r>
    </w:p>
    <w:p>
      <w:pPr>
        <w:pStyle w:val="ListBullet"/>
        <w:spacing w:before="20" w:after="40"/>
      </w:pPr>
      <w:r>
        <w:rPr>
          <w:color w:val="1A1A2E"/>
          <w:sz w:val="20"/>
        </w:rPr>
        <w:t>Next: Adhesion + pull-off testing on physically fabricated 11-layer coupons</w:t>
      </w:r>
    </w:p>
    <w:p>
      <w:pPr>
        <w:spacing w:before="160" w:after="20"/>
      </w:pPr>
      <w:r>
        <w:rPr>
          <w:b/>
          <w:color w:val="C07A00"/>
          <w:sz w:val="23"/>
        </w:rPr>
        <w:t>Objective 5: Strategic Element Substitution (Supply Chain De-risking)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Target: Reduce Hafnium (Hf) by </w:t>
      </w:r>
      <w:r>
        <w:rPr>
          <w:b/>
          <w:color w:val="1A1A2E"/>
          <w:sz w:val="20"/>
        </w:rPr>
        <w:t>&gt;50%</w:t>
      </w:r>
      <w:r>
        <w:rPr>
          <w:color w:val="1A1A2E"/>
          <w:sz w:val="20"/>
        </w:rPr>
        <w:t xml:space="preserve"> vs. CMSX-4 baseline to eliminate supply chain risk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Status: EXCEEDED — Hf reduced by </w:t>
      </w:r>
      <w:r>
        <w:rPr>
          <w:b/>
          <w:color w:val="1A1A2E"/>
          <w:sz w:val="20"/>
        </w:rPr>
        <w:t>&gt;75%</w:t>
      </w:r>
      <w:r>
        <w:rPr>
          <w:color w:val="1A1A2E"/>
          <w:sz w:val="20"/>
        </w:rPr>
        <w:t xml:space="preserve"> via Constrained Differential Evolution optimizer (Gorsse 2025 framework)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Additional outcome: 15-20% overall material cost reduction achieved simultaneously</w:t>
      </w:r>
    </w:p>
    <w:p>
      <w:pPr>
        <w:spacing w:before="160" w:after="20"/>
      </w:pPr>
      <w:r>
        <w:rPr>
          <w:b/>
          <w:color w:val="C07A00"/>
          <w:sz w:val="23"/>
        </w:rPr>
        <w:t>Objective 6: Manufacturing Translation — LENS Recipe Generation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Target: Hardware-agnostic 11-layer FGM manufacturing recipe for multi-hopper LENS 3D printers</w:t>
      </w:r>
    </w:p>
    <w:p>
      <w:pPr>
        <w:pStyle w:val="ListBullet"/>
        <w:spacing w:before="20" w:after="40"/>
      </w:pPr>
      <w:r>
        <w:rPr>
          <w:color w:val="1A1A2E"/>
          <w:sz w:val="20"/>
        </w:rPr>
        <w:t xml:space="preserve">Status: </w:t>
      </w:r>
      <w:r>
        <w:rPr>
          <w:b/>
          <w:color w:val="1A1A2E"/>
          <w:sz w:val="20"/>
        </w:rPr>
        <w:t>COMPLETE</w:t>
      </w:r>
      <w:r>
        <w:rPr>
          <w:color w:val="1A1A2E"/>
          <w:sz w:val="20"/>
        </w:rPr>
        <w:t xml:space="preserve"> — manufacturing_recipe.csv generated: laser power 200-400W, scan speed 500-1000 mm/min, dual-hopper powder flow defined</w:t>
      </w:r>
    </w:p>
    <w:p>
      <w:pPr>
        <w:pStyle w:val="ListBullet"/>
        <w:spacing w:before="20" w:after="40"/>
      </w:pPr>
      <w:r>
        <w:rPr>
          <w:color w:val="1A1A2E"/>
          <w:sz w:val="20"/>
        </w:rPr>
        <w:t>Next: Execute recipe at IIT Delhi CRF LENS/DED lab to fabricate physical witness coupons</w:t>
      </w:r>
    </w:p>
    <w:p>
      <w:pPr>
        <w:spacing w:before="160" w:after="20"/>
      </w:pPr>
      <w:r>
        <w:rPr>
          <w:b/>
          <w:color w:val="C07A00"/>
          <w:sz w:val="23"/>
        </w:rPr>
        <w:t>Overall TRL Status:</w:t>
      </w:r>
    </w:p>
    <w:p>
      <w:pPr>
        <w:spacing w:before="20" w:after="80"/>
      </w:pPr>
      <w:r>
        <w:rPr>
          <w:color w:val="1A1A2E"/>
          <w:sz w:val="21"/>
        </w:rPr>
        <w:t>Current: TRL 3+ — All 6 objectives cleared computationally. Patent filed. Q1-SCI paper published. Manufacturing recipe ready.</w:t>
        <w:br/>
        <w:t>SCIDIP Target: TRL 4/5 — Physical fabrication and empirical validation at IIT Delhi CRF.</w:t>
        <w:br/>
        <w:t>Post-SCIDIP: TRL 6 — Sona Comstar supply chain integration and commercialization.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B1D51"/>
          <w:sz w:val="28"/>
          <w:u w:val="single"/>
        </w:rPr>
        <w:t>6. Expected Founder Questions — Elite Answers</w:t>
      </w:r>
    </w:p>
    <w:p>
      <w:pPr>
        <w:spacing w:before="200"/>
      </w:pPr>
      <w:r>
        <w:rPr>
          <w:b/>
          <w:color w:val="0B1D51"/>
          <w:sz w:val="22"/>
        </w:rPr>
        <w:t>Q: How exactly will you collaborate with IIT Delhi and what is your plan?</w:t>
      </w:r>
    </w:p>
    <w:p>
      <w:pPr>
        <w:spacing w:before="40" w:after="120"/>
      </w:pPr>
      <w:r>
        <w:rPr>
          <w:color w:val="1A1A2E"/>
          <w:sz w:val="21"/>
        </w:rPr>
        <w:t>A: Phase 1 (Months 1-12 — Shared POC Sprint): We deliver production-ready AI models, multi-physics validation data, and digital twin outputs to IIT Delhi faculty. In return: SCIDIP seed funding tranche + IIT Delhi HPC access for 20,000+ thermal cycle FEA extension runs. Faculty mentorship on designing the physical characterization experimental protocol.</w:t>
        <w:br/>
        <w:br/>
        <w:t>Phase 2 (Months 12-24 — Scale-Out JDA): We provide our 11-layer LENS manufacturing recipe. IIT Delhi CRF physically fabricates FGM witness coupons and runs 1000 thermal cycles at 1400°C using STA, XRD and SEM/EDS. Grant funds: raw powder procurement (Ta, W, Cr, V, Ti, Hf), AM runs and characterization costs. Sona Comstar connects us to their precision forging and EV supply chain.</w:t>
        <w:br/>
        <w:br/>
        <w:t>Exit at 24 months: Fully validated TRL 5/6 hardware handed over to Sona Comstar for integration into H13 forging dies and SRM stator components.</w:t>
      </w:r>
    </w:p>
    <w:p>
      <w:pPr>
        <w:spacing w:before="200"/>
      </w:pPr>
      <w:r>
        <w:rPr>
          <w:b/>
          <w:color w:val="0B1D51"/>
          <w:sz w:val="22"/>
        </w:rPr>
        <w:t>Q: Why should Crystal Paradigm — an AI startup — be trusted to deliver physical materials validation?</w:t>
      </w:r>
    </w:p>
    <w:p>
      <w:pPr>
        <w:spacing w:before="40" w:after="120"/>
      </w:pPr>
      <w:r>
        <w:rPr>
          <w:color w:val="1A1A2E"/>
          <w:sz w:val="21"/>
        </w:rPr>
        <w:t>A: We are not a pure software company. Our team is a rare cross-disciplinary combination:</w:t>
        <w:br/>
        <w:br/>
        <w:t>Dr. Kasarapu Venkataramana (12+ years hands-on, CSIR-IICT DRDO projects) will lead the physical lab work at IIT Delhi — he has personally synthesized and characterized nano-composite electrolytes and fuel cell materials.</w:t>
        <w:br/>
        <w:br/>
        <w:t>Dr. Shilpa Choudhary (Stanford Top 2% Scientist, 18+ years AI, 100+ publications, multiple patents) anchors the computational platform.</w:t>
        <w:br/>
        <w:br/>
        <w:t>Our AI team has a Q1-SCI paper (Next Materials, 2026) and Indian Patent No. 202641084226 filed. The SCIDIP evaluation committee — IIT Delhi faculty, industry experts, investors — has already cleared us through two rigorous rounds. That is the most credible third-party validation available.</w:t>
      </w:r>
    </w:p>
    <w:p>
      <w:pPr>
        <w:spacing w:before="200"/>
      </w:pPr>
      <w:r>
        <w:rPr>
          <w:b/>
          <w:color w:val="0B1D51"/>
          <w:sz w:val="22"/>
        </w:rPr>
        <w:t>Q: What happens after 24 months — what is the commercial exit?</w:t>
      </w:r>
    </w:p>
    <w:p>
      <w:pPr>
        <w:spacing w:before="40" w:after="120"/>
      </w:pPr>
      <w:r>
        <w:rPr>
          <w:color w:val="1A1A2E"/>
          <w:sz w:val="21"/>
        </w:rPr>
        <w:t>A: 3 parallel tracks:</w:t>
        <w:br/>
        <w:br/>
        <w:t>1. LICENSING: License our 11-layer FGM recipe and HEA composition to aerospace OEMs (Safran, GE Aerospace, Rolls-Royce) under technology licensing agreements. Patent provides the IP moat.</w:t>
        <w:br/>
        <w:br/>
        <w:t>2. SONA COMSTAR SUPPLY CHAIN: Validated FGM prototypes integrated directly into Sona Comstar's precision forging dies and SRM stator components — the exact industrial pathway SCIDIP is designed to create.</w:t>
        <w:br/>
        <w:br/>
        <w:t>3. CRYSTAL PARADIGM PLATFORM EXPANSION: Our AI inverse design platform is sector-agnostic. Same platform applies to grid-scale battery materials (Q1 paper already published), EV thermal management, and MSME industrial tooling. IIT Delhi incubation gives credibility to pursue DST, NITI Aayog and BIRAC grants for parallel tracks.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444444"/>
          <w:sz w:val="18"/>
        </w:rPr>
        <w:t>Crystal Paradigm Private Limited  |  crystalparadigm.in  |  khub.crystalparadigm@gmail.com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