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br/>
        <w:br/>
        <w:br/>
        <w:br/>
        <w:br/>
        <w:br/>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2743200" cy="2743200"/>
                    </a:xfrm>
                    <a:prstGeom prst="rect"/>
                  </pic:spPr>
                </pic:pic>
              </a:graphicData>
            </a:graphic>
          </wp:inline>
        </w:drawing>
      </w:r>
    </w:p>
    <w:p w14:paraId="7DB429A1" w14:textId="77777777" w:rsidR="00866AF2" w:rsidRDefault="00000000">
      <w:pPr>
        <w:jc w:val="center"/>
      </w:pPr>
      <w:r>
        <w:rPr>
          <w:b/>
          <w:color w:val="0B1D51"/>
          <w:sz w:val="56"/>
        </w:rPr>
        <w:t>CRYSTAL PARADIGM</w:t>
      </w:r>
    </w:p>
    <w:p w14:paraId="03ADF9DB" w14:textId="77777777" w:rsidR="00866AF2" w:rsidRDefault="00000000">
      <w:pPr>
        <w:jc w:val="center"/>
      </w:pPr>
      <w:r>
        <w:rPr>
          <w:color w:val="2C3E6B"/>
          <w:sz w:val="32"/>
        </w:rPr>
        <w:t>Computational Materials Architecture</w:t>
      </w:r>
      <w:r>
        <w:rPr>
          <w:color w:val="2C3E6B"/>
          <w:sz w:val="32"/>
        </w:rPr>
        <w:br/>
        <w:t>for Next-Generation Aerospace Propulsion</w:t>
      </w:r>
    </w:p>
    <w:p w14:paraId="3876C205" w14:textId="77777777" w:rsidR="00866AF2" w:rsidRDefault="00000000">
      <w:r>
        <w:br w:type="page"/>
      </w:r>
    </w:p>
    <w:p w14:paraId="3EFE1109" w14:textId="77777777" w:rsidR="00866AF2" w:rsidRDefault="00000000">
      <w:pPr>
        <w:pStyle w:val="Heading1"/>
      </w:pPr>
      <w:r>
        <w:t>Intellectual Property &amp; Confidentiality Notice</w:t>
      </w:r>
    </w:p>
    <w:p>
      <w:pPr>
        <w:jc w:val="center"/>
      </w:pPr>
    </w:p>
    <w:p w14:paraId="33E04A3B" w14:textId="77777777" w:rsidR="00866AF2" w:rsidRDefault="00000000">
      <w:pPr>
        <w:jc w:val="center"/>
      </w:pPr>
      <w:r>
        <w:t>Crystal Paradigm has filed patent applications covering the optimized compositional windows and functionally graded architecture described in this document. Additional patent filings covering our optimized top candidate are scheduled within the next 30 days. Exact molar fractions, process parameters, surrogate model weights, and manufacturing recipes are proprietary and will be disclosed under mutual NDA during the POC scoping phase, consistent with standard incubation program guidelines.</w:t>
      </w:r>
    </w:p>
    <w:p w14:paraId="3E8C899B" w14:textId="77777777" w:rsidR="00866AF2" w:rsidRDefault="00000000">
      <w:pPr>
        <w:jc w:val="center"/>
      </w:pPr>
      <w:r>
        <w:t>This document does not contain highly confidential compositional data. Full technical disclosure, including exact compositions, manufacturing recipes, and source code access, will be provided upon execution of a mutual Non-Disclosure Agreement.</w:t>
      </w:r>
    </w:p>
    <w:p w14:paraId="3087E6C9" w14:textId="77777777" w:rsidR="00866AF2" w:rsidRDefault="00000000">
      <w:pPr>
        <w:pStyle w:val="Heading1"/>
        <w:jc w:val="center"/>
      </w:pPr>
      <w:r>
        <w:t>Executive Summary</w:t>
      </w:r>
    </w:p>
    <w:p w14:paraId="68AD80F0" w14:textId="77777777" w:rsidR="00866AF2" w:rsidRDefault="00000000">
      <w:pPr>
        <w:jc w:val="center"/>
      </w:pPr>
      <w:r>
        <w:t>Crystal Paradigm presents a closed-loop computational materials architecture designed to solve the critical thermal expansion mismatch problem in next-generation aerospace turbine blades. By integrating a Refractory High-Entropy Alloy (RHEA) substrate with a Functionally Graded Material (FGM) transition layer and Lanthanum Zirconate (LZO) ceramic coating, we have achieved an externally validated 3D aerospace Safety Factor of 1.71 with a maximum Von Mises stress of 798 MPa and an exceptional oxidation mass gain of just 7.5 mg/cm2, exceeding the 1.50 airworthiness threshold by 14%, while reducing material costs by 15-20% and supply chain exposure through strategic element substitution.</w:t>
      </w:r>
    </w:p>
    <w:p w14:paraId="633861CF" w14:textId="77777777" w:rsidR="00866AF2" w:rsidRDefault="00000000">
      <w:r>
        <w:t>This work directly addresses the need for advanced materials innovation in extreme-environment applications, combining multifunctional bulk material properties, next-generation Thermal Barrier Coatings, and advanced additive manufacturing processes with a strong AI-driven methodology for material design and in-silico performance screening.</w:t>
      </w:r>
    </w:p>
    <w:p w14:paraId="050D2E40" w14:textId="77777777" w:rsidR="00866AF2" w:rsidRDefault="00000000">
      <w:pPr>
        <w:pStyle w:val="Heading1"/>
      </w:pPr>
      <w:r>
        <w:t>1. Scope of Innovation &amp; Aerothermal Problem Statement</w:t>
      </w:r>
    </w:p>
    <w:p w14:paraId="65B3FDE0" w14:textId="77777777" w:rsidR="00866AF2" w:rsidRDefault="00000000">
      <w:r>
        <w:t>The propulsion industry faces a critical ceiling in Turbine Entry Temperatures (TET) due to inherent thermal limits of traditional nickel-based superalloys. Next-generation turbine blades demand performance at 15,000 RPM and 1400 C (1673 K), pushing materials beyond their physical boundaries. This challenge is directly aligned with next-generation open-rotor engine programs globally.</w:t>
      </w:r>
    </w:p>
    <w:p w14:paraId="451F7628" w14:textId="77777777" w:rsidR="00866AF2" w:rsidRDefault="00000000">
      <w:pPr>
        <w:pStyle w:val="Heading3"/>
      </w:pPr>
      <w:r>
        <w:t>The Core Problem:</w:t>
      </w:r>
    </w:p>
    <w:p w14:paraId="6304B911" w14:textId="77777777" w:rsidR="00866AF2" w:rsidRDefault="00000000">
      <w:pPr>
        <w:pStyle w:val="ListBullet"/>
      </w:pPr>
      <w:r>
        <w:t>Thermal fatigue caused by Coefficient of Thermal Expansion (CTE) mismatch between metallic substrate and ceramic coating</w:t>
      </w:r>
      <w:r w:rsidR="00A87253">
        <w:t>.</w:t>
      </w:r>
    </w:p>
    <w:p w14:paraId="473CA787" w14:textId="77777777" w:rsidR="00866AF2" w:rsidRDefault="00000000">
      <w:pPr>
        <w:pStyle w:val="ListBullet"/>
      </w:pPr>
      <w:r>
        <w:t>Under rapid thermal cycling, interfacial shear stress leads to hot-side gradient delamination and catastrophic failure</w:t>
      </w:r>
      <w:r w:rsidR="00E76B1D">
        <w:t>.</w:t>
      </w:r>
    </w:p>
    <w:p w14:paraId="7CF3C486" w14:textId="77777777" w:rsidR="00866AF2" w:rsidRDefault="00000000">
      <w:pPr>
        <w:pStyle w:val="ListBullet"/>
      </w:pPr>
      <w:r>
        <w:t>Industry reliance on Hafnium introduces significant supply chain exposure and cost volatility</w:t>
      </w:r>
      <w:r w:rsidR="00E76B1D">
        <w:t>.</w:t>
      </w:r>
    </w:p>
    <w:p w14:paraId="2EC74AC2" w14:textId="77777777" w:rsidR="00866AF2" w:rsidRDefault="00000000">
      <w:pPr>
        <w:pStyle w:val="ListBullet"/>
      </w:pPr>
      <w:r>
        <w:t>CMAS (Calcium-Magnesium-Alumino-Silicate sand and ash) melts above 1240 C and dissolves traditional YSZ coatings</w:t>
      </w:r>
      <w:r w:rsidR="00E76B1D">
        <w:t>.</w:t>
      </w:r>
    </w:p>
    <w:p w14:paraId="2E8BB48B" w14:textId="77777777" w:rsidR="00866AF2" w:rsidRDefault="00000000">
      <w:pPr>
        <w:pStyle w:val="Heading3"/>
      </w:pPr>
      <w:r>
        <w:t>Crystal Paradigm's Solution:</w:t>
      </w:r>
    </w:p>
    <w:p w14:paraId="4099F796" w14:textId="77777777" w:rsidR="00866AF2" w:rsidRDefault="00000000">
      <w:r>
        <w:t>We address these challenges through a closed-loop inverse design pipeline combining Machine Learning, Constrained Differential Evolution, 1D/3D Finite Element Analysis, CALPHAD thermodynamics, and Molecular Dynamics to engineer an alloy and FGM architecture achieving:</w:t>
      </w:r>
    </w:p>
    <w:p w14:paraId="6DBC0D15" w14:textId="77777777" w:rsidR="00866AF2" w:rsidRDefault="00000000">
      <w:pPr>
        <w:pStyle w:val="ListBullet"/>
      </w:pPr>
      <w:r>
        <w:t>3D Safety Factor (SF) &gt; 1.50 (achieved: 1.71, externally validated via 3D FEniCS FEA)</w:t>
      </w:r>
      <w:r w:rsidR="00E76B1D">
        <w:t>.</w:t>
      </w:r>
    </w:p>
    <w:p w14:paraId="624EC56E" w14:textId="77777777" w:rsidR="00866AF2" w:rsidRDefault="00000000">
      <w:pPr>
        <w:pStyle w:val="ListBullet"/>
      </w:pPr>
      <w:r>
        <w:t>Oxidation mass gain &lt; 10 mg/cm2 (achieved: 7.5 mg/cm2, exceptional)</w:t>
      </w:r>
      <w:r w:rsidR="00E76B1D">
        <w:t>.</w:t>
      </w:r>
    </w:p>
    <w:p w14:paraId="02F8EEE5" w14:textId="77777777" w:rsidR="00866AF2" w:rsidRDefault="00000000">
      <w:pPr>
        <w:pStyle w:val="ListBullet"/>
      </w:pPr>
      <w:r>
        <w:t>Stable single-phase BCC solid solution (Zero Sigma Phase risk, VEC = 5.02)</w:t>
      </w:r>
      <w:r w:rsidR="00E76B1D">
        <w:t>.</w:t>
      </w:r>
    </w:p>
    <w:p w14:paraId="22F18A2E" w14:textId="77777777" w:rsidR="00866AF2" w:rsidRDefault="00000000">
      <w:pPr>
        <w:pStyle w:val="ListBullet"/>
      </w:pPr>
      <w:r>
        <w:t>15-20% cost reduction through strategic element substitution (Hf reduced by &gt;75%)</w:t>
      </w:r>
      <w:r w:rsidR="00E76B1D">
        <w:t>.</w:t>
      </w:r>
    </w:p>
    <w:p w14:paraId="274EC907" w14:textId="77777777" w:rsidR="00866AF2" w:rsidRDefault="00000000">
      <w:pPr>
        <w:pStyle w:val="ListBullet"/>
      </w:pPr>
      <w:r>
        <w:t>Von Mises stress ceiling: 798 MPa under combined centrifugal and thermal loading</w:t>
      </w:r>
      <w:r w:rsidR="00E76B1D">
        <w:t>.</w:t>
      </w:r>
    </w:p>
    <w:p w14:paraId="1482D282" w14:textId="77777777" w:rsidR="00866AF2" w:rsidRDefault="00000000">
      <w:pPr>
        <w:pStyle w:val="Heading1"/>
      </w:pPr>
      <w:r>
        <w:t>2. Physics-Informed Materials Informatics Architecture</w:t>
      </w:r>
    </w:p>
    <w:p w14:paraId="79D28B35" w14:textId="77777777" w:rsidR="00866AF2" w:rsidRDefault="00000000">
      <w:r>
        <w:t>Our computational architecture leverages a multi-fidelity, physics-informed approach to rapidly traverse the vast compositional space of refractory HEAs. The pipeline operates as a closed-loop system: data ingestion, ML surrogate training, constrained optimization, local FEA screening, and external high-fidelity validation.</w:t>
      </w:r>
    </w:p>
    <w:p w14:paraId="1D33631F" w14:textId="77777777" w:rsidR="00866AF2" w:rsidRDefault="00000000">
      <w:pPr>
        <w:pStyle w:val="Heading2"/>
      </w:pPr>
      <w:r>
        <w:t>2.1. Isolated Element-Space Ingestion Boundary &amp; Data Lineage</w:t>
      </w:r>
    </w:p>
    <w:p w14:paraId="576E6145" w14:textId="77777777" w:rsidR="00866AF2" w:rsidRDefault="00000000">
      <w:r>
        <w:t>To ensure the highest level of data integrity, our data ingestion layer operates within an in-house data curation boundary. By enforcing strictly curated allowed element vectors (Mo, Nb, Ta, W, Cr, V, Ti, Zr, Hf) directly within the ingestion logic, we establish rigorous hygiene control against malformed or out-of-scope data entries.</w:t>
      </w:r>
    </w:p>
    <w:p w14:paraId="40967912" w14:textId="77777777" w:rsidR="00866AF2" w:rsidRDefault="00000000">
      <w:pPr>
        <w:pStyle w:val="Heading3"/>
      </w:pPr>
      <w:r>
        <w:t>Multi-Tier Data Lineage:</w:t>
      </w:r>
    </w:p>
    <w:p w14:paraId="67AF7BAE" w14:textId="77777777" w:rsidR="00866AF2" w:rsidRDefault="004F21DA" w:rsidP="00F96150">
      <w:pPr>
        <w:pStyle w:val="ListNumber"/>
        <w:numPr>
          <w:ilvl w:val="0"/>
          <w:numId w:val="0"/>
        </w:numPr>
        <w:ind w:left="360" w:hanging="360"/>
      </w:pPr>
      <w:r w:rsidRPr="004F21DA">
        <w:t xml:space="preserve"> I</w:t>
      </w:r>
      <w:r>
        <w:t>.</w:t>
      </w:r>
      <w:r w:rsidR="00F96150">
        <w:t xml:space="preserve"> </w:t>
      </w:r>
      <w:r>
        <w:t>Raw Dataset Ingestion: Multi-source extraction from Materials Project, AFLOW, OQMD, JARVIS-DFT, and historical refractory alloys with experimental yield strength anchors</w:t>
      </w:r>
      <w:r w:rsidR="00E76B1D">
        <w:t>.</w:t>
      </w:r>
    </w:p>
    <w:p w14:paraId="5228C1BD" w14:textId="77777777" w:rsidR="00866AF2" w:rsidRDefault="004F21DA" w:rsidP="00F96150">
      <w:pPr>
        <w:pStyle w:val="ListNumber"/>
        <w:numPr>
          <w:ilvl w:val="0"/>
          <w:numId w:val="0"/>
        </w:numPr>
        <w:ind w:left="360" w:hanging="360"/>
      </w:pPr>
      <w:r w:rsidRPr="004F21DA">
        <w:t>II</w:t>
      </w:r>
      <w:r>
        <w:t>. Empirical Gating Filters: Miedema size mismatch (d &lt;= 6.6%), mixing enthalpy, Omega phase stability</w:t>
      </w:r>
      <w:r w:rsidR="00E76B1D">
        <w:t>.</w:t>
      </w:r>
    </w:p>
    <w:p w14:paraId="009D4F59" w14:textId="77777777" w:rsidR="00866AF2" w:rsidRDefault="004F21DA" w:rsidP="00F96150">
      <w:pPr>
        <w:pStyle w:val="ListNumber"/>
        <w:numPr>
          <w:ilvl w:val="0"/>
          <w:numId w:val="0"/>
        </w:numPr>
        <w:ind w:left="360" w:hanging="360"/>
      </w:pPr>
      <w:r w:rsidRPr="004F21DA">
        <w:t>III</w:t>
      </w:r>
      <w:r>
        <w:t>. Physics-Informed Feature Engineering: Valence Electron Concentration (VEC), melting temperature, atomic radius, electronegativity (Pauling scale), Miedema parameters</w:t>
      </w:r>
      <w:r w:rsidR="00E76B1D">
        <w:t>.</w:t>
      </w:r>
    </w:p>
    <w:p w14:paraId="2DF9BB16" w14:textId="77777777" w:rsidR="00866AF2" w:rsidRDefault="004F21DA" w:rsidP="00F96150">
      <w:pPr>
        <w:pStyle w:val="ListNumber"/>
        <w:numPr>
          <w:ilvl w:val="0"/>
          <w:numId w:val="0"/>
        </w:numPr>
        <w:ind w:left="360" w:hanging="360"/>
      </w:pPr>
      <w:r w:rsidRPr="004F21DA">
        <w:t>IV</w:t>
      </w:r>
      <w:r>
        <w:t>. Local High-Speed 1D FEA: Rapid thermoelastic screening via tridiagonal solvers evaluating CTE mismatch against LZO ceramic</w:t>
      </w:r>
      <w:r w:rsidR="00E76B1D">
        <w:t>.</w:t>
      </w:r>
    </w:p>
    <w:p w14:paraId="608B05D8" w14:textId="77777777" w:rsidR="00866AF2" w:rsidRDefault="004F21DA" w:rsidP="00F96150">
      <w:pPr>
        <w:pStyle w:val="ListNumber"/>
        <w:numPr>
          <w:ilvl w:val="0"/>
          <w:numId w:val="0"/>
        </w:numPr>
        <w:ind w:left="360" w:hanging="360"/>
      </w:pPr>
      <w:r w:rsidRPr="004F21DA">
        <w:t>V</w:t>
      </w:r>
      <w:r>
        <w:t>. External High-Fidelity Validation: 3D FEniCS thermomechanical FEA stress grids and MACE/CHGNet Machine Learning Force Field Molecular Dynamics on high-performance computing infrastructure</w:t>
      </w:r>
      <w:r w:rsidR="00E76B1D">
        <w:t>.</w:t>
      </w:r>
    </w:p>
    <w:p w14:paraId="506C266B" w14:textId="77777777" w:rsidR="00866AF2" w:rsidRDefault="004F21DA" w:rsidP="00F96150">
      <w:pPr>
        <w:pStyle w:val="ListNumber"/>
        <w:numPr>
          <w:ilvl w:val="0"/>
          <w:numId w:val="0"/>
        </w:numPr>
        <w:ind w:left="360" w:hanging="360"/>
      </w:pPr>
      <w:r w:rsidRPr="004F21DA">
        <w:t>VI</w:t>
      </w:r>
      <w:r>
        <w:t>. Experimental Handoff: Translation to LENS 3D printing discrete manufacturing recipes</w:t>
      </w:r>
      <w:r w:rsidR="00E76B1D">
        <w:t>.</w:t>
      </w:r>
    </w:p>
    <w:p w14:paraId="600AAB17" w14:textId="77777777" w:rsidR="00866AF2" w:rsidRDefault="00000000">
      <w:pPr>
        <w:pStyle w:val="Heading2"/>
      </w:pPr>
      <w:r>
        <w:t>2.2. Dual-Model Transfer Learning &amp; Constrained Stochastics</w:t>
      </w:r>
    </w:p>
    <w:p w14:paraId="1452717E" w14:textId="77777777" w:rsidR="00866AF2" w:rsidRDefault="00000000">
      <w:r>
        <w:t>We employ a Random Forest regressor trained on a curated dataset of known refractory HEAs to predict critical properties such as CTE and Valence Electron Concentration (VEC). This ML surrogate achieves Test R2 = 0.977 and MAE = 8.11 GPa on the bulk modulus prediction task, with 5-fold cross-validation confirming Mean R2 = 0.975 +/- 0.008.</w:t>
      </w:r>
    </w:p>
    <w:p w14:paraId="39D8A3F9" w14:textId="77777777" w:rsidR="00866AF2" w:rsidRDefault="00000000">
      <w:r>
        <w:t>This surrogate is coupled with a Constrained Differential Evolution (DE) algorithm that searches a 9-element hypercube (Mo-Nb-Ta-W-Cr-V-Ti-Zr-Hf). The DE optimizer applies heavy mathematical penalties to compositions violating physics constraints:</w:t>
      </w:r>
    </w:p>
    <w:p w14:paraId="47175FF2" w14:textId="77777777" w:rsidR="00866AF2" w:rsidRDefault="00000000">
      <w:pPr>
        <w:pStyle w:val="ListBullet"/>
      </w:pPr>
      <w:r>
        <w:t>VEC limits: &lt; 6.8 (to avoid brittle sigma phase; sigma forms at VEC 6.4-7.0)</w:t>
      </w:r>
      <w:r w:rsidR="009A7939">
        <w:t>.</w:t>
      </w:r>
    </w:p>
    <w:p w14:paraId="66C8B49B" w14:textId="77777777" w:rsidR="00866AF2" w:rsidRDefault="00000000">
      <w:pPr>
        <w:pStyle w:val="ListBullet"/>
      </w:pPr>
      <w:r>
        <w:t>Density constraints: &lt; 11.0 g/cm3 (weight penalty enforcement)</w:t>
      </w:r>
      <w:r w:rsidR="009A7939">
        <w:t>.</w:t>
      </w:r>
    </w:p>
    <w:p w14:paraId="3CC59B84" w14:textId="77777777" w:rsidR="00866AF2" w:rsidRDefault="00000000">
      <w:pPr>
        <w:pStyle w:val="ListBullet"/>
      </w:pPr>
      <w:r>
        <w:t>Empirical oxidation limits: V2O5 and TiO2 formation thresholds</w:t>
      </w:r>
      <w:r w:rsidR="009A7939">
        <w:t>.</w:t>
      </w:r>
    </w:p>
    <w:p w14:paraId="03EBDE70" w14:textId="77777777" w:rsidR="00866AF2" w:rsidRDefault="00000000">
      <w:pPr>
        <w:pStyle w:val="ListBullet"/>
      </w:pPr>
      <w:r>
        <w:t>HEA definition: each principal element 5-35% (compositional diversity requirement)</w:t>
      </w:r>
      <w:r w:rsidR="009A7939">
        <w:t>.</w:t>
      </w:r>
    </w:p>
    <w:p w14:paraId="0AC12D1B" w14:textId="77777777" w:rsidR="00866AF2" w:rsidRDefault="00000000">
      <w:pPr>
        <w:pStyle w:val="ListBullet"/>
      </w:pPr>
      <w:r>
        <w:t>Sigma-former ceiling: W+Cr+Mo &lt; 50% (phase stability guard)</w:t>
      </w:r>
      <w:r w:rsidR="009A7939">
        <w:t>.</w:t>
      </w:r>
    </w:p>
    <w:p w14:paraId="2FEC240D" w14:textId="77777777" w:rsidR="00866AF2" w:rsidRDefault="00000000">
      <w:pPr>
        <w:pStyle w:val="Heading2"/>
      </w:pPr>
      <w:r>
        <w:t>2.3. Tiered Compute Architecture &amp; Cloud Scalability</w:t>
      </w:r>
    </w:p>
    <w:p w14:paraId="112FC5E4" w14:textId="77777777" w:rsidR="00866AF2" w:rsidRDefault="00000000">
      <w:r>
        <w:t>We utilize a tiered compute architecture with a high-speed local screening layer using 1D thermoelastic finite element approximation. This enables rapid evaluation of candidate compositions by computing CTE mismatch against LZO and predicting interface stress without full 3D simulation overhead. Once optimal candidates are identified locally, the architecture scales to external high-fidelity validations:</w:t>
      </w:r>
    </w:p>
    <w:p w14:paraId="70C77406" w14:textId="77777777" w:rsidR="00866AF2" w:rsidRDefault="00000000">
      <w:pPr>
        <w:pStyle w:val="ListBullet"/>
      </w:pPr>
      <w:r>
        <w:t>3D FEniCS Thermomechanical FEA: Full stress field grids under combined 15,000 RPM centrifugal and thermal gradient loading over 10,000 thermal cycles (1400 K to 300 K)</w:t>
      </w:r>
      <w:r w:rsidR="009A7939">
        <w:t>.</w:t>
      </w:r>
    </w:p>
    <w:p w14:paraId="2EBAECDD" w14:textId="77777777" w:rsidR="00866AF2" w:rsidRDefault="00000000">
      <w:pPr>
        <w:pStyle w:val="ListBullet"/>
      </w:pPr>
      <w:r>
        <w:t>CALPHAD Phase Thermodynamics: Gibbs free energy minimization from 300 K to 3000 K using the advanced TCHEA4 thermodynamic database, confirming single-phase BCC stability</w:t>
      </w:r>
      <w:r w:rsidR="009A7939">
        <w:t>.</w:t>
      </w:r>
    </w:p>
    <w:p w14:paraId="541D964D" w14:textId="77777777" w:rsidR="00866AF2" w:rsidRDefault="00000000">
      <w:pPr>
        <w:pStyle w:val="ListBullet"/>
      </w:pPr>
      <w:r>
        <w:t>MACE and CHGNet Machine Learning Force Field Molecular Dynamics: 20,000-atom supercell simulations over 500 ps tracking oxygen diffusion boundaries and high-temperature oxidation kinetics</w:t>
      </w:r>
      <w:r w:rsidR="009A7939">
        <w:t>.</w:t>
      </w:r>
    </w:p>
    <w:p w14:paraId="0E1BF4C6" w14:textId="77777777" w:rsidR="00866AF2" w:rsidRDefault="00000000">
      <w:pPr>
        <w:pStyle w:val="ListBullet"/>
      </w:pPr>
      <w:r>
        <w:t>Pareto Multi-Objective Gradient Optimization: Scanning 35+ FGM architectures to balance interface shear stress, fatigue life, thermal resistance, and weight penalty</w:t>
      </w:r>
      <w:r w:rsidR="009A7939">
        <w:t>.</w:t>
      </w:r>
    </w:p>
    <w:p w14:paraId="6189F983" w14:textId="77777777" w:rsidR="00866AF2" w:rsidRDefault="00000000">
      <w:pPr>
        <w:pStyle w:val="Heading1"/>
      </w:pPr>
      <w:r>
        <w:t>3. The Transpiration Cooling Network (TCN) vs. Geometric Hole Penalty</w:t>
      </w:r>
    </w:p>
    <w:p w14:paraId="05360F87" w14:textId="77777777" w:rsidR="00866AF2" w:rsidRDefault="00000000">
      <w:pPr>
        <w:pStyle w:val="Heading2"/>
      </w:pPr>
      <w:r>
        <w:t>3.1. Mechanics of the Geometric Hole Penalty</w:t>
      </w:r>
    </w:p>
    <w:p w14:paraId="05FE67F7" w14:textId="77777777" w:rsidR="00866AF2" w:rsidRDefault="00000000">
      <w:r>
        <w:t>Traditional active cooling relies on macro-drilled film cooling holes which introduce severe structural vulnerabilities:</w:t>
      </w:r>
    </w:p>
    <w:p w14:paraId="0BE731DF" w14:textId="77777777" w:rsidR="00866AF2" w:rsidRDefault="00000000">
      <w:pPr>
        <w:pStyle w:val="ListBullet"/>
      </w:pPr>
      <w:r>
        <w:t>Stress Concentration: Drilled holes create factors Kt &gt;= 3.0, amplified by elastic discontinuities across FGM plies</w:t>
      </w:r>
      <w:r w:rsidR="00072960">
        <w:t>.</w:t>
      </w:r>
    </w:p>
    <w:p w14:paraId="3F70E1E6" w14:textId="77777777" w:rsidR="00866AF2" w:rsidRDefault="00000000">
      <w:pPr>
        <w:pStyle w:val="ListBullet"/>
      </w:pPr>
      <w:r>
        <w:t>Expansion Mismatch: At 1673 K, high-expansion metallic core exerts 850+ MPa compressive loads on low-expansion ceramic layers</w:t>
      </w:r>
      <w:r w:rsidR="00072960">
        <w:t>.</w:t>
      </w:r>
    </w:p>
    <w:p w14:paraId="6896FCA2" w14:textId="77777777" w:rsidR="00866AF2" w:rsidRDefault="00000000">
      <w:pPr>
        <w:pStyle w:val="ListBullet"/>
      </w:pPr>
      <w:r>
        <w:t>Failure Mode: Micro-crack initiation at hole perimeters, leading to rapid horizontal delamination under 15,000 RPM centrifugal stress</w:t>
      </w:r>
      <w:r w:rsidR="00072960">
        <w:t>.</w:t>
      </w:r>
    </w:p>
    <w:p w14:paraId="0366C904" w14:textId="77777777" w:rsidR="00866AF2" w:rsidRDefault="00000000">
      <w:pPr>
        <w:pStyle w:val="Heading2"/>
      </w:pPr>
      <w:r>
        <w:t>3.2. Transpiration Weeping Override</w:t>
      </w:r>
    </w:p>
    <w:p w14:paraId="193A6317" w14:textId="77777777" w:rsidR="00866AF2" w:rsidRDefault="00000000">
      <w:r>
        <w:t>Crystal Paradigm has eliminated traditional holes from the design space. Active cooling is managed via an integrated Transpiration Cooling Network:</w:t>
      </w:r>
    </w:p>
    <w:p w14:paraId="6FF82B84" w14:textId="77777777" w:rsidR="00866AF2" w:rsidRDefault="00000000">
      <w:pPr>
        <w:pStyle w:val="ListBullet"/>
      </w:pPr>
      <w:r>
        <w:t>Mechanism: Controlled micro-porosity channels programmed directly into outer ceramic and graded layers using selective laser sintering parameters</w:t>
      </w:r>
      <w:r w:rsidR="00072960">
        <w:t>.</w:t>
      </w:r>
    </w:p>
    <w:p w14:paraId="1EAA4FB5" w14:textId="77777777" w:rsidR="00866AF2" w:rsidRDefault="00000000">
      <w:pPr>
        <w:pStyle w:val="ListBullet"/>
      </w:pPr>
      <w:r>
        <w:t>Effect: Cooling air weeps uniformly across the hot-face, creating a continuous protective film blanket mimicking biological transpiration</w:t>
      </w:r>
      <w:r w:rsidR="00072960">
        <w:t>.</w:t>
      </w:r>
    </w:p>
    <w:p w14:paraId="06C083D6" w14:textId="77777777" w:rsidR="00866AF2" w:rsidRDefault="00000000">
      <w:pPr>
        <w:pStyle w:val="ListBullet"/>
      </w:pPr>
      <w:r>
        <w:t>Benefit: Eliminates macro-level stress concentration hotspots, prevents delamination-inducing stress singularities, enables 15% reduction in parasitic compressor bleed air</w:t>
      </w:r>
      <w:r w:rsidR="00072960">
        <w:t>.</w:t>
      </w:r>
    </w:p>
    <w:p w14:paraId="228E5B3F" w14:textId="77777777" w:rsidR="00866AF2" w:rsidRDefault="00000000">
      <w:r>
        <w:t>Transpiration weeping represents the physical manufacturing translation of the ideal platform film cooling boundary conditions successfully modeled in our 3D FEniCS thermomechanical simulations.</w:t>
      </w:r>
    </w:p>
    <w:p w14:paraId="4A4F43B2" w14:textId="77777777" w:rsidR="00866AF2" w:rsidRDefault="00000000">
      <w:pPr>
        <w:pStyle w:val="Heading1"/>
      </w:pPr>
      <w:r>
        <w:t>4. Candidate Verification Profiles</w:t>
      </w:r>
    </w:p>
    <w:p w14:paraId="5DE4EC43" w14:textId="77777777" w:rsidR="00866AF2" w:rsidRDefault="00000000">
      <w:r>
        <w:t>Our pipeline has identified high-performance candidates demonstrating the robustness of our multi-fidelity approach. Two leading candidates have been developed through iterative optimization in the refractory Ta-W-Cr-V-Ti-Hf-Zr-Nb compositional space:</w:t>
      </w:r>
    </w:p>
    <w:tbl>
      <w:tblPr>
        <w:tblStyle w:val="LightGrid-Accent1"/>
        <w:tblW w:w="0" w:type="auto"/>
        <w:jc w:val="center"/>
        <w:tblLook w:val="04A0" w:firstRow="1" w:lastRow="0" w:firstColumn="1" w:lastColumn="0" w:noHBand="0" w:noVBand="1"/>
      </w:tblPr>
      <w:tblGrid>
        <w:gridCol w:w="2880"/>
        <w:gridCol w:w="2880"/>
        <w:gridCol w:w="2880"/>
      </w:tblGrid>
      <w:tr w:rsidR="00866AF2" w14:paraId="7FB1C7B4"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48B60F" w14:textId="77777777" w:rsidR="00866AF2" w:rsidRDefault="00000000">
            <w:r>
              <w:rPr>
                <w:sz w:val="20"/>
              </w:rPr>
              <w:t>Feature</w:t>
            </w:r>
          </w:p>
        </w:tc>
        <w:tc>
          <w:tcPr>
            <w:tcW w:w="2880" w:type="dxa"/>
          </w:tcPr>
          <w:p w14:paraId="2A7D309F"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Candidate A (Baseline)</w:t>
            </w:r>
          </w:p>
        </w:tc>
        <w:tc>
          <w:tcPr>
            <w:tcW w:w="2880" w:type="dxa"/>
          </w:tcPr>
          <w:p w14:paraId="1FBF0F11"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Candidate C (Optimized Successor)</w:t>
            </w:r>
          </w:p>
        </w:tc>
      </w:tr>
      <w:tr w:rsidR="00866AF2" w14:paraId="647B2A9D"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473DFF" w14:textId="77777777" w:rsidR="00866AF2" w:rsidRDefault="00000000">
            <w:r>
              <w:rPr>
                <w:sz w:val="20"/>
              </w:rPr>
              <w:t>Composition</w:t>
            </w:r>
          </w:p>
        </w:tc>
        <w:tc>
          <w:tcPr>
            <w:tcW w:w="2880" w:type="dxa"/>
          </w:tcPr>
          <w:p w14:paraId="62225858"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X1-Ta + X2-W + X3-Cr + X4-V</w:t>
            </w:r>
            <w:r>
              <w:rPr>
                <w:sz w:val="20"/>
              </w:rPr>
              <w:br/>
              <w:t>+ X5-Ti + X6-Hf + 2.8% Al</w:t>
            </w:r>
            <w:r>
              <w:rPr>
                <w:sz w:val="20"/>
              </w:rPr>
              <w:br/>
              <w:t>(6-element RHEA)</w:t>
            </w:r>
          </w:p>
        </w:tc>
        <w:tc>
          <w:tcPr>
            <w:tcW w:w="2880" w:type="dxa"/>
          </w:tcPr>
          <w:p w14:paraId="5AA419B5"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Y1-Ta + Y2-W + Y3-Cr + Y4-V</w:t>
            </w:r>
            <w:r>
              <w:rPr>
                <w:sz w:val="20"/>
              </w:rPr>
              <w:br/>
              <w:t>+ Y5-Ti + Y6-Hf + Y7-Zr + Y8-Nb</w:t>
            </w:r>
            <w:r>
              <w:rPr>
                <w:sz w:val="20"/>
              </w:rPr>
              <w:br/>
              <w:t>+ 2.8% Al (9-element RHEA)</w:t>
            </w:r>
          </w:p>
        </w:tc>
      </w:tr>
      <w:tr w:rsidR="00866AF2" w14:paraId="39A504CC"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1EBE85" w14:textId="77777777" w:rsidR="00866AF2" w:rsidRDefault="00000000">
            <w:r>
              <w:rPr>
                <w:sz w:val="20"/>
              </w:rPr>
              <w:t>3D Safety Factor</w:t>
            </w:r>
          </w:p>
        </w:tc>
        <w:tc>
          <w:tcPr>
            <w:tcW w:w="2880" w:type="dxa"/>
          </w:tcPr>
          <w:p w14:paraId="0A7FED54"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1.66 (3D FEniCS validated)</w:t>
            </w:r>
          </w:p>
        </w:tc>
        <w:tc>
          <w:tcPr>
            <w:tcW w:w="2880" w:type="dxa"/>
          </w:tcPr>
          <w:p w14:paraId="68C07067"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1.71 (3D FEniCS validated,</w:t>
            </w:r>
            <w:r>
              <w:rPr>
                <w:sz w:val="20"/>
              </w:rPr>
              <w:br/>
              <w:t>798 MPa Von Mises)</w:t>
            </w:r>
          </w:p>
        </w:tc>
      </w:tr>
      <w:tr w:rsidR="00866AF2" w14:paraId="064EEA8F"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B5D6BC" w14:textId="77777777" w:rsidR="00866AF2" w:rsidRDefault="00000000">
            <w:r>
              <w:rPr>
                <w:sz w:val="20"/>
              </w:rPr>
              <w:t>Oxidation Mass Gain</w:t>
            </w:r>
          </w:p>
        </w:tc>
        <w:tc>
          <w:tcPr>
            <w:tcW w:w="2880" w:type="dxa"/>
          </w:tcPr>
          <w:p w14:paraId="7CFBAED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7.5 mg/cm2 (Exceptional)</w:t>
            </w:r>
          </w:p>
        </w:tc>
        <w:tc>
          <w:tcPr>
            <w:tcW w:w="2880" w:type="dxa"/>
          </w:tcPr>
          <w:p w14:paraId="5E6FE91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7.5 mg/cm2 (Exceptional)</w:t>
            </w:r>
          </w:p>
        </w:tc>
      </w:tr>
      <w:tr w:rsidR="00866AF2" w14:paraId="3C312289"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892E71" w14:textId="77777777" w:rsidR="00866AF2" w:rsidRDefault="00000000">
            <w:r>
              <w:rPr>
                <w:sz w:val="20"/>
              </w:rPr>
              <w:t>Phase Stability</w:t>
            </w:r>
          </w:p>
        </w:tc>
        <w:tc>
          <w:tcPr>
            <w:tcW w:w="2880" w:type="dxa"/>
          </w:tcPr>
          <w:p w14:paraId="55C76B42"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Stable BCC (VEC ~5.2)</w:t>
            </w:r>
          </w:p>
        </w:tc>
        <w:tc>
          <w:tcPr>
            <w:tcW w:w="2880" w:type="dxa"/>
          </w:tcPr>
          <w:p w14:paraId="5E6AA462"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Stable BCC (VEC 5.02,</w:t>
            </w:r>
            <w:r>
              <w:rPr>
                <w:sz w:val="20"/>
              </w:rPr>
              <w:br/>
              <w:t>Zero Sigma Risk)</w:t>
            </w:r>
          </w:p>
        </w:tc>
      </w:tr>
      <w:tr w:rsidR="00866AF2" w14:paraId="489F040B"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06C0EE" w14:textId="77777777" w:rsidR="00866AF2" w:rsidRDefault="00000000">
            <w:r>
              <w:rPr>
                <w:sz w:val="20"/>
              </w:rPr>
              <w:t>Cost / Supply Chain</w:t>
            </w:r>
          </w:p>
        </w:tc>
        <w:tc>
          <w:tcPr>
            <w:tcW w:w="2880" w:type="dxa"/>
          </w:tcPr>
          <w:p w14:paraId="52243829"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Higher Hf reliance (~$201/kg)</w:t>
            </w:r>
          </w:p>
        </w:tc>
        <w:tc>
          <w:tcPr>
            <w:tcW w:w="2880" w:type="dxa"/>
          </w:tcPr>
          <w:p w14:paraId="528B6498"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15-20% cost reduction (~$170/kg)</w:t>
            </w:r>
            <w:r>
              <w:rPr>
                <w:sz w:val="20"/>
              </w:rPr>
              <w:br/>
              <w:t>Hf reduced by &gt;75%</w:t>
            </w:r>
          </w:p>
        </w:tc>
      </w:tr>
      <w:tr w:rsidR="00866AF2" w14:paraId="1DBBAABF"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6AF842" w14:textId="77777777" w:rsidR="00866AF2" w:rsidRDefault="00000000">
            <w:r>
              <w:rPr>
                <w:sz w:val="20"/>
              </w:rPr>
              <w:t>CTE Matching</w:t>
            </w:r>
          </w:p>
        </w:tc>
        <w:tc>
          <w:tcPr>
            <w:tcW w:w="2880" w:type="dxa"/>
          </w:tcPr>
          <w:p w14:paraId="7DC2C2C8"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Standard</w:t>
            </w:r>
          </w:p>
        </w:tc>
        <w:tc>
          <w:tcPr>
            <w:tcW w:w="2880" w:type="dxa"/>
          </w:tcPr>
          <w:p w14:paraId="33B76573"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6% improved CTE mismatch</w:t>
            </w:r>
            <w:r>
              <w:rPr>
                <w:sz w:val="20"/>
              </w:rPr>
              <w:br/>
              <w:t>vs Candidate A</w:t>
            </w:r>
          </w:p>
        </w:tc>
      </w:tr>
      <w:tr w:rsidR="00866AF2" w14:paraId="4492126C"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921D2E" w14:textId="77777777" w:rsidR="00866AF2" w:rsidRDefault="00000000">
            <w:r>
              <w:rPr>
                <w:sz w:val="20"/>
              </w:rPr>
              <w:t>Solidus Temperature</w:t>
            </w:r>
          </w:p>
        </w:tc>
        <w:tc>
          <w:tcPr>
            <w:tcW w:w="2880" w:type="dxa"/>
          </w:tcPr>
          <w:p w14:paraId="5776459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~2727 K</w:t>
            </w:r>
          </w:p>
        </w:tc>
        <w:tc>
          <w:tcPr>
            <w:tcW w:w="2880" w:type="dxa"/>
          </w:tcPr>
          <w:p w14:paraId="6F590141"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~2727 K</w:t>
            </w:r>
          </w:p>
        </w:tc>
      </w:tr>
      <w:tr w:rsidR="00866AF2" w14:paraId="5BF46133"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D9A428" w14:textId="77777777" w:rsidR="00866AF2" w:rsidRDefault="00000000">
            <w:r>
              <w:rPr>
                <w:sz w:val="20"/>
              </w:rPr>
              <w:t>Fatigue Life</w:t>
            </w:r>
          </w:p>
        </w:tc>
        <w:tc>
          <w:tcPr>
            <w:tcW w:w="2880" w:type="dxa"/>
          </w:tcPr>
          <w:p w14:paraId="627B7416"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&gt;10,000 cycles at 1400 K</w:t>
            </w:r>
          </w:p>
        </w:tc>
        <w:tc>
          <w:tcPr>
            <w:tcW w:w="2880" w:type="dxa"/>
          </w:tcPr>
          <w:p w14:paraId="35215CDD"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&gt;10,000 cycles at 1400 K</w:t>
            </w:r>
          </w:p>
        </w:tc>
      </w:tr>
    </w:tbl>
    <w:p w14:paraId="7DC8A842" w14:textId="77777777" w:rsidR="00866AF2" w:rsidRPr="00A87253" w:rsidRDefault="00000000">
      <w:pPr>
        <w:rPr>
          <w:b/>
          <w:bCs/>
        </w:rPr>
      </w:pPr>
      <w:r w:rsidRPr="00A87253">
        <w:rPr>
          <w:b/>
          <w:bCs/>
        </w:rPr>
        <w:t>Note: Exact molar fractions (X1-X6 and Y1-Y8) are protected under pending patent filings and will be disclosed under mutual NDA during the POC scoping phase. The element families and performance metrics are provided to demonstrate technical credibility.</w:t>
      </w:r>
    </w:p>
    <w:p w14:paraId="15EBF852" w14:textId="77777777" w:rsidR="00866AF2" w:rsidRDefault="00000000">
      <w:pPr>
        <w:pStyle w:val="Heading1"/>
      </w:pPr>
      <w:r>
        <w:t>5. Core Property Prediction Model Performance</w:t>
      </w:r>
    </w:p>
    <w:p w14:paraId="18A21D82" w14:textId="77777777" w:rsidR="00866AF2" w:rsidRDefault="00000000">
      <w:r>
        <w:t>Our in-memory property prediction models demonstrate world-class accuracy for refractory compositional spaces:</w:t>
      </w:r>
    </w:p>
    <w:p w14:paraId="1E52D527" w14:textId="77777777" w:rsidR="00866AF2" w:rsidRDefault="00000000">
      <w:pPr>
        <w:pStyle w:val="Heading3"/>
      </w:pPr>
      <w:r>
        <w:t>Model Metrics:</w:t>
      </w:r>
    </w:p>
    <w:tbl>
      <w:tblPr>
        <w:tblStyle w:val="LightGrid-Accent1"/>
        <w:tblW w:w="0" w:type="auto"/>
        <w:jc w:val="center"/>
        <w:tblLook w:val="04A0" w:firstRow="1" w:lastRow="0" w:firstColumn="1" w:lastColumn="0" w:noHBand="0" w:noVBand="1"/>
      </w:tblPr>
      <w:tblGrid>
        <w:gridCol w:w="2880"/>
        <w:gridCol w:w="2880"/>
        <w:gridCol w:w="2880"/>
      </w:tblGrid>
      <w:tr w:rsidR="00866AF2" w14:paraId="07361469"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C7F33C" w14:textId="77777777" w:rsidR="00866AF2" w:rsidRDefault="00000000">
            <w:r>
              <w:rPr>
                <w:sz w:val="20"/>
              </w:rPr>
              <w:t>Model</w:t>
            </w:r>
          </w:p>
        </w:tc>
        <w:tc>
          <w:tcPr>
            <w:tcW w:w="2880" w:type="dxa"/>
          </w:tcPr>
          <w:p w14:paraId="13CB3C3C"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Metric</w:t>
            </w:r>
          </w:p>
        </w:tc>
        <w:tc>
          <w:tcPr>
            <w:tcW w:w="2880" w:type="dxa"/>
          </w:tcPr>
          <w:p w14:paraId="76D291F3"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866AF2" w14:paraId="72A61964"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B9C0CF" w14:textId="77777777" w:rsidR="00866AF2" w:rsidRDefault="00000000">
            <w:r>
              <w:rPr>
                <w:sz w:val="20"/>
              </w:rPr>
              <w:t>Random Forest Bulk Property Regressor</w:t>
            </w:r>
          </w:p>
        </w:tc>
        <w:tc>
          <w:tcPr>
            <w:tcW w:w="2880" w:type="dxa"/>
          </w:tcPr>
          <w:p w14:paraId="312695AC" w14:textId="77777777" w:rsidR="00866AF2" w:rsidRPr="004F21DA" w:rsidRDefault="00000000">
            <w:pPr>
              <w:cnfStyle w:val="000000100000" w:firstRow="0" w:lastRow="0" w:firstColumn="0" w:lastColumn="0" w:oddVBand="0" w:evenVBand="0" w:oddHBand="1" w:evenHBand="0" w:firstRowFirstColumn="0" w:firstRowLastColumn="0" w:lastRowFirstColumn="0" w:lastRowLastColumn="0"/>
              <w:rPr>
                <w:sz w:val="24"/>
                <w:szCs w:val="28"/>
                <w:vertAlign w:val="superscript"/>
              </w:rPr>
            </w:pPr>
            <w:r>
              <w:rPr>
                <w:sz w:val="20"/>
              </w:rPr>
              <w:t>Test R</w:t>
            </w:r>
            <w:r w:rsidR="004F21DA">
              <w:rPr>
                <w:sz w:val="20"/>
                <w:vertAlign w:val="superscript"/>
              </w:rPr>
              <w:t>2</w:t>
            </w:r>
          </w:p>
        </w:tc>
        <w:tc>
          <w:tcPr>
            <w:tcW w:w="2880" w:type="dxa"/>
          </w:tcPr>
          <w:p w14:paraId="3048C479"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0.977</w:t>
            </w:r>
          </w:p>
        </w:tc>
      </w:tr>
      <w:tr w:rsidR="00866AF2" w14:paraId="472746CE"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28FD73" w14:textId="77777777" w:rsidR="00866AF2" w:rsidRDefault="00000000">
            <w:r>
              <w:rPr>
                <w:sz w:val="20"/>
              </w:rPr>
              <w:t>Random Forest Bulk Property Regressor</w:t>
            </w:r>
          </w:p>
        </w:tc>
        <w:tc>
          <w:tcPr>
            <w:tcW w:w="2880" w:type="dxa"/>
          </w:tcPr>
          <w:p w14:paraId="649002C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Test MAE</w:t>
            </w:r>
          </w:p>
        </w:tc>
        <w:tc>
          <w:tcPr>
            <w:tcW w:w="2880" w:type="dxa"/>
          </w:tcPr>
          <w:p w14:paraId="03C8BDD5"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8.11 GPa</w:t>
            </w:r>
          </w:p>
        </w:tc>
      </w:tr>
      <w:tr w:rsidR="00866AF2" w14:paraId="19634E54"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D4300A" w14:textId="77777777" w:rsidR="00866AF2" w:rsidRDefault="00000000">
            <w:r>
              <w:rPr>
                <w:sz w:val="20"/>
              </w:rPr>
              <w:t>Experimental Yield Strength Model</w:t>
            </w:r>
          </w:p>
        </w:tc>
        <w:tc>
          <w:tcPr>
            <w:tcW w:w="2880" w:type="dxa"/>
          </w:tcPr>
          <w:p w14:paraId="0F43DC5B" w14:textId="77777777" w:rsidR="00866AF2" w:rsidRPr="004F21DA" w:rsidRDefault="00000000">
            <w:pPr>
              <w:cnfStyle w:val="000000100000" w:firstRow="0" w:lastRow="0" w:firstColumn="0" w:lastColumn="0" w:oddVBand="0" w:evenVBand="0" w:oddHBand="1" w:evenHBand="0" w:firstRowFirstColumn="0" w:firstRowLastColumn="0" w:lastRowFirstColumn="0" w:lastRowLastColumn="0"/>
              <w:rPr>
                <w:vertAlign w:val="superscript"/>
              </w:rPr>
            </w:pPr>
            <w:r>
              <w:rPr>
                <w:sz w:val="20"/>
              </w:rPr>
              <w:t>Training R</w:t>
            </w:r>
            <w:r w:rsidR="004F21DA">
              <w:rPr>
                <w:sz w:val="20"/>
                <w:vertAlign w:val="superscript"/>
              </w:rPr>
              <w:t>2</w:t>
            </w:r>
          </w:p>
        </w:tc>
        <w:tc>
          <w:tcPr>
            <w:tcW w:w="2880" w:type="dxa"/>
          </w:tcPr>
          <w:p w14:paraId="3969580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0.958</w:t>
            </w:r>
          </w:p>
        </w:tc>
      </w:tr>
      <w:tr w:rsidR="00866AF2" w14:paraId="7D6E2BFB"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C0A610" w14:textId="77777777" w:rsidR="00866AF2" w:rsidRDefault="00000000">
            <w:r>
              <w:rPr>
                <w:sz w:val="20"/>
              </w:rPr>
              <w:t>Phase Predictor</w:t>
            </w:r>
          </w:p>
        </w:tc>
        <w:tc>
          <w:tcPr>
            <w:tcW w:w="2880" w:type="dxa"/>
          </w:tcPr>
          <w:p w14:paraId="26AF7A79"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VEC Feature Importance</w:t>
            </w:r>
          </w:p>
        </w:tc>
        <w:tc>
          <w:tcPr>
            <w:tcW w:w="2880" w:type="dxa"/>
          </w:tcPr>
          <w:p w14:paraId="34FA3273"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66.12%</w:t>
            </w:r>
          </w:p>
        </w:tc>
      </w:tr>
      <w:tr w:rsidR="00866AF2" w14:paraId="2D126604"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9A43F5" w14:textId="77777777" w:rsidR="00866AF2" w:rsidRDefault="00000000">
            <w:r>
              <w:rPr>
                <w:sz w:val="20"/>
              </w:rPr>
              <w:t>5-fold Cross-Validation</w:t>
            </w:r>
          </w:p>
        </w:tc>
        <w:tc>
          <w:tcPr>
            <w:tcW w:w="2880" w:type="dxa"/>
          </w:tcPr>
          <w:p w14:paraId="672DC693" w14:textId="77777777" w:rsidR="00866AF2" w:rsidRPr="004F21DA" w:rsidRDefault="00000000">
            <w:pPr>
              <w:cnfStyle w:val="000000100000" w:firstRow="0" w:lastRow="0" w:firstColumn="0" w:lastColumn="0" w:oddVBand="0" w:evenVBand="0" w:oddHBand="1" w:evenHBand="0" w:firstRowFirstColumn="0" w:firstRowLastColumn="0" w:lastRowFirstColumn="0" w:lastRowLastColumn="0"/>
              <w:rPr>
                <w:vertAlign w:val="superscript"/>
              </w:rPr>
            </w:pPr>
            <w:r>
              <w:rPr>
                <w:sz w:val="20"/>
              </w:rPr>
              <w:t>Mean R</w:t>
            </w:r>
            <w:r w:rsidR="004F21DA">
              <w:rPr>
                <w:sz w:val="20"/>
                <w:vertAlign w:val="superscript"/>
              </w:rPr>
              <w:t>2</w:t>
            </w:r>
          </w:p>
        </w:tc>
        <w:tc>
          <w:tcPr>
            <w:tcW w:w="2880" w:type="dxa"/>
          </w:tcPr>
          <w:p w14:paraId="6227D48F"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0.975 +/- 0.008</w:t>
            </w:r>
          </w:p>
        </w:tc>
      </w:tr>
    </w:tbl>
    <w:p w14:paraId="7D20F634" w14:textId="77777777" w:rsidR="00866AF2" w:rsidRDefault="00000000">
      <w:pPr>
        <w:pStyle w:val="Heading3"/>
      </w:pPr>
      <w:r>
        <w:t>Learning Curves &amp; Convergence:</w:t>
      </w:r>
    </w:p>
    <w:p w14:paraId="74922D83" w14:textId="77777777" w:rsidR="00866AF2" w:rsidRDefault="00000000">
      <w:pPr>
        <w:pStyle w:val="ListBullet"/>
      </w:pPr>
      <w:r>
        <w:t>Training size vs. mean error shows convergence at ~50 samples, validating our 'Small Data, High Physics' approach for rare refractory spaces</w:t>
      </w:r>
    </w:p>
    <w:p w14:paraId="26E8E7E9" w14:textId="77777777" w:rsidR="00866AF2" w:rsidRDefault="00000000">
      <w:pPr>
        <w:pStyle w:val="ListBullet"/>
      </w:pPr>
      <w:r>
        <w:t>Test error plateaus at MAE = 8.11 GPa for bulk modulus prediction</w:t>
      </w:r>
    </w:p>
    <w:p w14:paraId="5015B015" w14:textId="77777777" w:rsidR="00866AF2" w:rsidRDefault="00000000">
      <w:pPr>
        <w:pStyle w:val="ListBullet"/>
      </w:pPr>
      <w:r>
        <w:t>Residual distribution: Gaussian with mean ~0, std ~2.1 GPa, confirming no systematic bias</w:t>
      </w:r>
    </w:p>
    <w:p w14:paraId="6B10F8AF" w14:textId="77777777" w:rsidR="00866AF2" w:rsidRDefault="00000000">
      <w:pPr>
        <w:pStyle w:val="ListBullet"/>
      </w:pPr>
      <w:r>
        <w:t>Unphysical predictions are guarded by explicit negative-value checks in the evaluation pipeline</w:t>
      </w:r>
    </w:p>
    <w:p w14:paraId="0521305D" w14:textId="77777777" w:rsidR="00866AF2" w:rsidRDefault="00000000">
      <w:pPr>
        <w:pStyle w:val="Heading3"/>
      </w:pPr>
      <w:r>
        <w:t>Dataset Composition:</w:t>
      </w:r>
    </w:p>
    <w:p w14:paraId="65490AB8" w14:textId="77777777" w:rsidR="00866AF2" w:rsidRDefault="00000000">
      <w:pPr>
        <w:pStyle w:val="ListBullet"/>
      </w:pPr>
      <w:r>
        <w:t>Materials Project: DFT formation energy and bulk modulus datasets</w:t>
      </w:r>
    </w:p>
    <w:p w14:paraId="3E2D11C1" w14:textId="77777777" w:rsidR="00866AF2" w:rsidRDefault="00000000">
      <w:pPr>
        <w:pStyle w:val="ListBullet"/>
      </w:pPr>
      <w:r>
        <w:t>OQMD: Extracted and filtered for thermodynamic stability</w:t>
      </w:r>
    </w:p>
    <w:p w14:paraId="620EFBF1" w14:textId="77777777" w:rsidR="00866AF2" w:rsidRDefault="00000000">
      <w:pPr>
        <w:pStyle w:val="ListBullet"/>
      </w:pPr>
      <w:r>
        <w:t>JARVIS-DFT: Structural verification and ALIGNN descriptors</w:t>
      </w:r>
    </w:p>
    <w:p w14:paraId="73E43CCA" w14:textId="77777777" w:rsidR="00866AF2" w:rsidRDefault="00000000">
      <w:pPr>
        <w:pStyle w:val="ListBullet"/>
      </w:pPr>
      <w:r>
        <w:t>Historical refractory alloys: Aggregated from targeted published literature</w:t>
      </w:r>
    </w:p>
    <w:p w14:paraId="15FD1556" w14:textId="77777777" w:rsidR="00866AF2" w:rsidRDefault="00000000">
      <w:pPr>
        <w:pStyle w:val="ListBullet"/>
      </w:pPr>
      <w:r>
        <w:t>Experimental yield strength anchors: High-priority weighted targets</w:t>
      </w:r>
    </w:p>
    <w:p w14:paraId="292832C6" w14:textId="77777777" w:rsidR="00866AF2" w:rsidRDefault="00000000">
      <w:pPr>
        <w:pStyle w:val="Heading3"/>
      </w:pPr>
      <w:r>
        <w:t>Leakage Controls:</w:t>
      </w:r>
    </w:p>
    <w:p w14:paraId="0630A80E" w14:textId="77777777" w:rsidR="00866AF2" w:rsidRDefault="00000000">
      <w:pPr>
        <w:pStyle w:val="ListBullet"/>
      </w:pPr>
      <w:r>
        <w:t>Strict 80/20 train/test splits with zero-overlap cross-validation</w:t>
      </w:r>
    </w:p>
    <w:p w14:paraId="13ABD790" w14:textId="77777777" w:rsidR="00866AF2" w:rsidRDefault="00000000">
      <w:pPr>
        <w:pStyle w:val="ListBullet"/>
      </w:pPr>
      <w:r>
        <w:t>No data from unvalidated combinatorial grid compositions allowed in surrogate training</w:t>
      </w:r>
    </w:p>
    <w:p w14:paraId="427964D0" w14:textId="77777777" w:rsidR="00866AF2" w:rsidRDefault="00000000">
      <w:pPr>
        <w:pStyle w:val="ListBullet"/>
      </w:pPr>
      <w:r>
        <w:t>Independent validation on held-out experimental datasets</w:t>
      </w:r>
    </w:p>
    <w:p w14:paraId="461D4D90" w14:textId="77777777" w:rsidR="00866AF2" w:rsidRDefault="00000000">
      <w:pPr>
        <w:pStyle w:val="Heading1"/>
      </w:pPr>
      <w:r>
        <w:t>6. Additive Manufacturing Trajectory &amp; Universal Reference Blueprint</w:t>
      </w:r>
    </w:p>
    <w:p w14:paraId="6D356A85" w14:textId="77777777" w:rsidR="00866AF2" w:rsidRDefault="00000000">
      <w:r>
        <w:t>The spatial distribution of ceramic and metal phases through the 5.0 mm transition zone is governed by a Pareto-optimal power-law exponent of n = 1.1. This gradient mathematically shifts the maximum interfacial shear stress away from the brittle ceramic surface, minimizing delamination risks. The interface shear stress is restricted to just 15.95 MPa.</w:t>
      </w:r>
    </w:p>
    <w:p w14:paraId="35446F05" w14:textId="77777777" w:rsidR="00866AF2" w:rsidRDefault="00000000">
      <w:pPr>
        <w:pStyle w:val="Heading2"/>
      </w:pPr>
      <w:r>
        <w:t>6.1. Discrete Manufacturing Recipe (11-Layer FGM)</w:t>
      </w:r>
    </w:p>
    <w:p w14:paraId="1D63F2A7" w14:textId="77777777" w:rsidR="00866AF2" w:rsidRDefault="00000000">
      <w:r>
        <w:t>Our hardware-agnostic manufacturing standard utilizes a discrete 11-layer volume-fraction recipe for multi-hopper Laser Engineered Net Shaping (LENS) 3D printing. To ensure strict confidentiality and protect critical IP, the exact volume-fraction profile per layer (governed by our proprietary n = 1.1 power-law optimization) is withheld from this document. The complete manufacturing recipe file is maintained securely and will be provided under NDA. This recipe is designed to interface seamlessly with any multi-hopper LENS 3D printer.</w:t>
      </w:r>
    </w:p>
    <w:p w14:paraId="1E60B05C" w14:textId="77777777" w:rsidR="00866AF2" w:rsidRDefault="00000000">
      <w:pPr>
        <w:pStyle w:val="Heading1"/>
      </w:pPr>
      <w:r>
        <w:t>7. Real-World Economic Impact &amp; Operating Value Ledger</w:t>
      </w:r>
    </w:p>
    <w:p w14:paraId="7E5A7C08" w14:textId="77777777" w:rsidR="00866AF2" w:rsidRDefault="00000000">
      <w:r>
        <w:t>Our platform's breakthroughs map directly to commercial sustainability and maintenance goals aligned with next-generation turbofan and open-rotor engine program targets.</w:t>
      </w:r>
    </w:p>
    <w:p w14:paraId="70552B1A" w14:textId="77777777" w:rsidR="00866AF2" w:rsidRDefault="00000000">
      <w:pPr>
        <w:pStyle w:val="Heading2"/>
      </w:pPr>
      <w:r>
        <w:t>7.1. Aerospace Operating Impact</w:t>
      </w:r>
    </w:p>
    <w:p w14:paraId="0E636961" w14:textId="77777777" w:rsidR="00866AF2" w:rsidRDefault="00000000">
      <w:pPr>
        <w:pStyle w:val="ListBullet"/>
      </w:pPr>
      <w:r>
        <w:t>Parasitic Bleed Reduction: Transpiration weeping network reduces reliance on compressor parasitic bleed air by 15%</w:t>
      </w:r>
    </w:p>
    <w:p w14:paraId="16CE5521" w14:textId="77777777" w:rsidR="00866AF2" w:rsidRDefault="00000000">
      <w:pPr>
        <w:pStyle w:val="ListBullet"/>
      </w:pPr>
      <w:r>
        <w:t>Specific Fuel Consumption (SFC): 1.5% net reduction in SFC</w:t>
      </w:r>
    </w:p>
    <w:p w14:paraId="04A490E2" w14:textId="77777777" w:rsidR="00866AF2" w:rsidRDefault="00000000">
      <w:pPr>
        <w:pStyle w:val="ListBullet"/>
      </w:pPr>
      <w:r>
        <w:t>Fuel Burn Relevance: Allowable temperature margin enables 50-100 K operational headroom beyond current TET limits</w:t>
      </w:r>
    </w:p>
    <w:p w14:paraId="3856E2ED" w14:textId="77777777" w:rsidR="00866AF2" w:rsidRDefault="00000000">
      <w:pPr>
        <w:pStyle w:val="Heading2"/>
      </w:pPr>
      <w:r>
        <w:t>7.2. Market Case Study: Narrowbody Fleet Value</w:t>
      </w:r>
    </w:p>
    <w:tbl>
      <w:tblPr>
        <w:tblStyle w:val="LightGrid-Accent1"/>
        <w:tblW w:w="0" w:type="auto"/>
        <w:jc w:val="center"/>
        <w:tblLook w:val="04A0" w:firstRow="1" w:lastRow="0" w:firstColumn="1" w:lastColumn="0" w:noHBand="0" w:noVBand="1"/>
      </w:tblPr>
      <w:tblGrid>
        <w:gridCol w:w="4320"/>
        <w:gridCol w:w="4320"/>
      </w:tblGrid>
      <w:tr w:rsidR="00866AF2" w14:paraId="6874E737"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4C7A1B" w14:textId="77777777" w:rsidR="00866AF2" w:rsidRDefault="00000000">
            <w:r>
              <w:rPr>
                <w:sz w:val="20"/>
              </w:rPr>
              <w:t>Metric</w:t>
            </w:r>
          </w:p>
        </w:tc>
        <w:tc>
          <w:tcPr>
            <w:tcW w:w="4320" w:type="dxa"/>
          </w:tcPr>
          <w:p w14:paraId="28F5601C"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Impact per Aircraft</w:t>
            </w:r>
          </w:p>
        </w:tc>
      </w:tr>
      <w:tr w:rsidR="00866AF2" w14:paraId="103D22AF"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D70909" w14:textId="77777777" w:rsidR="00866AF2" w:rsidRDefault="00000000">
            <w:r>
              <w:rPr>
                <w:sz w:val="20"/>
              </w:rPr>
              <w:t>Fuel Savings (Jet A-1)</w:t>
            </w:r>
          </w:p>
        </w:tc>
        <w:tc>
          <w:tcPr>
            <w:tcW w:w="4320" w:type="dxa"/>
          </w:tcPr>
          <w:p w14:paraId="3F82993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108 Metric Tons (135,000 Liters)</w:t>
            </w:r>
          </w:p>
        </w:tc>
      </w:tr>
      <w:tr w:rsidR="00866AF2" w14:paraId="1B5F7AA8"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685A89" w14:textId="77777777" w:rsidR="00866AF2" w:rsidRDefault="00000000">
            <w:r>
              <w:rPr>
                <w:sz w:val="20"/>
              </w:rPr>
              <w:t>Carbon Footprint Reduction</w:t>
            </w:r>
          </w:p>
        </w:tc>
        <w:tc>
          <w:tcPr>
            <w:tcW w:w="4320" w:type="dxa"/>
          </w:tcPr>
          <w:p w14:paraId="0265EDC6"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~340 Metric Tons CO2</w:t>
            </w:r>
          </w:p>
        </w:tc>
      </w:tr>
      <w:tr w:rsidR="00866AF2" w14:paraId="7937B402"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F13B94" w14:textId="77777777" w:rsidR="00866AF2" w:rsidRDefault="00000000">
            <w:r>
              <w:rPr>
                <w:sz w:val="20"/>
              </w:rPr>
              <w:t>Direct Operating Cash Savings</w:t>
            </w:r>
          </w:p>
        </w:tc>
        <w:tc>
          <w:tcPr>
            <w:tcW w:w="4320" w:type="dxa"/>
          </w:tcPr>
          <w:p w14:paraId="19875E41"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~EUR 105,000 ($114,750 USD)</w:t>
            </w:r>
          </w:p>
        </w:tc>
      </w:tr>
      <w:tr w:rsidR="00866AF2" w14:paraId="37531551"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01AD1B" w14:textId="77777777" w:rsidR="00866AF2" w:rsidRDefault="00000000">
            <w:r>
              <w:rPr>
                <w:sz w:val="20"/>
              </w:rPr>
              <w:t>MRO Cost Reduction</w:t>
            </w:r>
          </w:p>
        </w:tc>
        <w:tc>
          <w:tcPr>
            <w:tcW w:w="4320" w:type="dxa"/>
          </w:tcPr>
          <w:p w14:paraId="005AD2BC"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12-18% through extended blade life</w:t>
            </w:r>
          </w:p>
        </w:tc>
      </w:tr>
    </w:tbl>
    <w:p w14:paraId="1B9AA993" w14:textId="77777777" w:rsidR="00866AF2" w:rsidRDefault="00000000">
      <w:r>
        <w:rPr>
          <w:b/>
        </w:rPr>
        <w:t xml:space="preserve">Fleet Analysis: </w:t>
      </w:r>
      <w:r>
        <w:t>For a standard narrowbody fleet of 100 aircraft, this translates to approximately EUR 10.5 Million ($11.4 Million USD) in annual direct cash savings and ~34,000 metric tons of CO2 reduction. 5-Year cumulative savings: ~EUR 52.5 Million ($57 Million USD).</w:t>
      </w:r>
    </w:p>
    <w:p w14:paraId="17681C49" w14:textId="77777777" w:rsidR="00866AF2" w:rsidRDefault="00000000">
      <w:pPr>
        <w:pStyle w:val="Heading1"/>
      </w:pPr>
      <w:r>
        <w:t>8. Validation &amp; Collaboration Roadmap</w:t>
      </w:r>
    </w:p>
    <w:p w14:paraId="1011D29F" w14:textId="77777777" w:rsidR="00866AF2" w:rsidRDefault="00000000">
      <w:r>
        <w:t>To establish complete airworthiness validation under stringent aerospace engineering standards, this project establishes an intensive, data-backed development pipeline. By replacing high-risk, macro-drilled film cooling holes with a co-deposited Transpiration Cooling Network via Controlled Micro-Porosity, we systematically resolve the severe interfacial stress concentrations (Kt &gt;= 4.5) and thermal bottlenecks that disrupt traditional multi-material gradients under a real 1400 C (1673 K) hot-gas flux.</w:t>
      </w:r>
    </w:p>
    <w:p w14:paraId="16C9D6C9" w14:textId="77777777" w:rsidR="00866AF2" w:rsidRDefault="00000000">
      <w:pPr>
        <w:pStyle w:val="Heading2"/>
      </w:pPr>
      <w:r>
        <w:t>8.1. Execution Timeline &amp; Resource Allocation</w:t>
      </w:r>
    </w:p>
    <w:p w14:paraId="58419943" w14:textId="77777777" w:rsidR="00866AF2" w:rsidRDefault="00000000">
      <w:r>
        <w:t>This targeted development lifecycle is optimized to run under a a rapid-validation framework, with scaling provisions for subsequent coupon fabrication, leveraging institutional research infrastructure and incubation support.</w:t>
      </w:r>
    </w:p>
    <w:p w14:paraId="67A17AAD" w14:textId="77777777" w:rsidR="00866AF2" w:rsidRDefault="00000000">
      <w:pPr>
        <w:pStyle w:val="Heading3"/>
      </w:pPr>
      <w:r>
        <w:t>Phase 1: High-Fidelity Computational Verification &amp; Core Architecture Audits (Timeline: Mutually Agreed)</w:t>
      </w:r>
    </w:p>
    <w:p w14:paraId="38EC28CC" w14:textId="77777777" w:rsidR="00866AF2" w:rsidRDefault="00000000">
      <w:r>
        <w:t>Engineering Objective: Extend our ALREADY VALIDATED external supercomputing results (Aerospace SF = 1.71, 798 MPa Von Mises) through additional 3D FEniCS FEA validation runs, targeting confirmation across extended 20,000+ thermal cycle envelopes.</w:t>
      </w:r>
    </w:p>
    <w:p w14:paraId="56E5EDCE" w14:textId="77777777" w:rsidR="00866AF2" w:rsidRDefault="00000000">
      <w:pPr>
        <w:pStyle w:val="Heading4"/>
      </w:pPr>
      <w:r>
        <w:t>Milestone Core Actions:</w:t>
      </w:r>
    </w:p>
    <w:p w14:paraId="4DE0CD8E" w14:textId="77777777" w:rsidR="00866AF2" w:rsidRDefault="00000000">
      <w:pPr>
        <w:pStyle w:val="ListBullet"/>
      </w:pPr>
      <w:r>
        <w:t>Integrate multi-source dataset tensors from Materials Project, OQMD, AFLOW and targeted experimental literature anchors to refine the localized bulk modulus surrogate engine (Test R2 = 0.977, MAE = 8.11 GPa)</w:t>
      </w:r>
    </w:p>
    <w:p w14:paraId="443A92A2" w14:textId="77777777" w:rsidR="00866AF2" w:rsidRDefault="00000000">
      <w:pPr>
        <w:pStyle w:val="ListBullet"/>
      </w:pPr>
      <w:r>
        <w:t>Evaluate model convergence via training-size-vs-error curves and residual-vs-target plots across folds to eliminate unphysical prediction artifacts</w:t>
      </w:r>
    </w:p>
    <w:p w14:paraId="161826B9" w14:textId="77777777" w:rsidR="00866AF2" w:rsidRDefault="00000000">
      <w:pPr>
        <w:pStyle w:val="ListBullet"/>
      </w:pPr>
      <w:r>
        <w:t>Execute unreduced 3D FEniCS FEA stress field grids on our top candidate, directly factoring in localized stress concentration multipliers and out-of-phase thermal gradients</w:t>
      </w:r>
    </w:p>
    <w:p w14:paraId="379240D4" w14:textId="77777777" w:rsidR="00866AF2" w:rsidRDefault="00000000">
      <w:pPr>
        <w:pStyle w:val="ListBullet"/>
      </w:pPr>
      <w:r>
        <w:t>Trigger high-fidelity MACE and CHGNet Machine Learning Force Field Molecular Dynamics simulations to track oxygen atom diffusion boundaries and evaluate high-temperature oxidation mass gain kinetics</w:t>
      </w:r>
    </w:p>
    <w:p w14:paraId="00CDD2A5" w14:textId="77777777" w:rsidR="00866AF2" w:rsidRDefault="00000000">
      <w:r>
        <w:rPr>
          <w:b/>
        </w:rPr>
        <w:t xml:space="preserve">Go/No-Go Gate: </w:t>
      </w:r>
      <w:r>
        <w:t>Confirms 3D structural Safety Factor &gt;= 1.71 (already achieved) under 15,000 RPM centrifugal loads with density &lt;= 9.78 g/cm3 and VEC = 5.02 securing zero sigma-phase risk.</w:t>
      </w:r>
    </w:p>
    <w:p w14:paraId="7316BE4F" w14:textId="77777777" w:rsidR="00866AF2" w:rsidRDefault="00000000">
      <w:pPr>
        <w:pStyle w:val="Heading3"/>
      </w:pPr>
      <w:r>
        <w:t>Phase 2: Advanced Additive Net-Shape Fabrication &amp; Porosity Programming (Timeline: Mutually Agreed)</w:t>
      </w:r>
    </w:p>
    <w:p w14:paraId="4A8FC9A5" w14:textId="77777777" w:rsidR="00866AF2" w:rsidRDefault="00000000">
      <w:r>
        <w:rPr>
          <w:b/>
        </w:rPr>
        <w:t xml:space="preserve">Engineering Objective: </w:t>
      </w:r>
      <w:r>
        <w:t>Convert continuous material gradient physics curves into discrete manufacturing blueprints for physical printing.</w:t>
      </w:r>
    </w:p>
    <w:p w14:paraId="0937A85F" w14:textId="77777777" w:rsidR="00866AF2" w:rsidRDefault="00000000">
      <w:pPr>
        <w:pStyle w:val="ListBullet"/>
      </w:pPr>
      <w:r>
        <w:t>Feed our universal 11-layer volume-fraction printing matrix into a dual-line multi-hopper Laser Engineered Net Shaping (LENS / DED) additive manufacturing platform</w:t>
      </w:r>
    </w:p>
    <w:p w14:paraId="3742E76E" w14:textId="77777777" w:rsidR="00866AF2" w:rsidRDefault="00000000">
      <w:pPr>
        <w:pStyle w:val="ListBullet"/>
      </w:pPr>
      <w:r>
        <w:t>Program laser deposition paths transitioning from 100% pre-alloyed metallic HEA substrate powder at Layer 1 through mid-gradient balances to 100% pure LZO ceramic at Layer 11</w:t>
      </w:r>
    </w:p>
    <w:p w14:paraId="1CB5332A" w14:textId="77777777" w:rsidR="00866AF2" w:rsidRDefault="00000000">
      <w:pPr>
        <w:pStyle w:val="ListBullet"/>
      </w:pPr>
      <w:r>
        <w:t>Execute active parameter optimization (laser power, powder feed flow rates, scan speeds) to build a Controlled Transpiration Micro-Porosity Network into the outer ceramic and graded layers</w:t>
      </w:r>
    </w:p>
    <w:p w14:paraId="6E78A1AE" w14:textId="77777777" w:rsidR="00866AF2" w:rsidRDefault="00000000">
      <w:r>
        <w:rPr>
          <w:b/>
        </w:rPr>
        <w:t xml:space="preserve">Go/No-Go Gate: </w:t>
      </w:r>
      <w:r>
        <w:t>SEM and EDS confirm clear layer-wise compositional accuracy and verify complete absence of processing defects, voids, or macro-cracking.</w:t>
      </w:r>
    </w:p>
    <w:p w14:paraId="24DF7EBB" w14:textId="77777777" w:rsidR="00866AF2" w:rsidRDefault="00000000">
      <w:pPr>
        <w:pStyle w:val="Heading3"/>
      </w:pPr>
      <w:r>
        <w:t>Phase 3: Empirical Laboratory Characterization &amp; Aerothermal Auditing (Timeline: Mutually Agreed)</w:t>
      </w:r>
    </w:p>
    <w:p w14:paraId="2D0DA2C7" w14:textId="77777777" w:rsidR="00866AF2" w:rsidRDefault="00000000">
      <w:r>
        <w:rPr>
          <w:b/>
        </w:rPr>
        <w:t xml:space="preserve">Engineering Objective: </w:t>
      </w:r>
      <w:r>
        <w:t>Validate property predictions in a physical environment and close the materials informatics feedback loop.</w:t>
      </w:r>
    </w:p>
    <w:p w14:paraId="7F2A73C5" w14:textId="77777777" w:rsidR="00866AF2" w:rsidRDefault="00000000">
      <w:pPr>
        <w:pStyle w:val="ListBullet"/>
      </w:pPr>
      <w:r>
        <w:t>Subject printed FGM coupons to 1,000 continuous thermal shock cycles inside an Automated Thermal Cycling Rig at 1400 C (1673 K)</w:t>
      </w:r>
    </w:p>
    <w:p w14:paraId="1AA857B6" w14:textId="77777777" w:rsidR="00866AF2" w:rsidRDefault="00000000">
      <w:pPr>
        <w:pStyle w:val="ListBullet"/>
      </w:pPr>
      <w:r>
        <w:t>Interface with high-temperature XRD to verify phase configurations, ensuring BCC stability without sigma phases within the 873-1173 K operational window</w:t>
      </w:r>
    </w:p>
    <w:p w14:paraId="4739A06E" w14:textId="77777777" w:rsidR="00866AF2" w:rsidRDefault="00000000">
      <w:pPr>
        <w:pStyle w:val="ListBullet"/>
      </w:pPr>
      <w:r>
        <w:t>Analyze aerothermal boundary layer profiles to confirm stable cooling film with zero boundary layer separation under gas cross-flows</w:t>
      </w:r>
    </w:p>
    <w:p w14:paraId="08CC8876" w14:textId="77777777" w:rsidR="00866AF2" w:rsidRDefault="00000000">
      <w:r>
        <w:rPr>
          <w:b/>
        </w:rPr>
        <w:t xml:space="preserve">Go/No-Go Gate: </w:t>
      </w:r>
      <w:r>
        <w:t>Complete coupon survival with zero interface delamination or spallation. Physical validation must confirm FGM thermal blockade dropping core substrate temperature by 150-200 K, preventing dissolution of strengthening gamma-prime precipitates, to lock in an empirical Safety Factor &gt;= 1.50.</w:t>
      </w:r>
    </w:p>
    <w:p w14:paraId="299BCAF2" w14:textId="77777777" w:rsidR="00866AF2" w:rsidRDefault="00000000">
      <w:pPr>
        <w:pStyle w:val="Heading2"/>
      </w:pPr>
      <w:r>
        <w:t>8.2. Commercial Fleet Operations &amp; Revenue Impact</w:t>
      </w:r>
    </w:p>
    <w:p w14:paraId="58C5629B" w14:textId="77777777" w:rsidR="00866AF2" w:rsidRDefault="00000000">
      <w:r>
        <w:t>Deploying the Crystal Paradigm platform directly optimizes the engine's core thermal cycle for narrowbody fleet economics :</w:t>
      </w:r>
    </w:p>
    <w:p w14:paraId="2764B318" w14:textId="77777777" w:rsidR="00866AF2" w:rsidRDefault="00000000">
      <w:pPr>
        <w:pStyle w:val="ListBullet"/>
      </w:pPr>
      <w:r>
        <w:t>Parasitic Bleed Air: Continuous micro-porous transpiration cooling reduces parasitic compressor bleed air by 15%, driving 1.5% net SFC reduction</w:t>
      </w:r>
    </w:p>
    <w:p w14:paraId="5D3770F1" w14:textId="77777777" w:rsidR="00866AF2" w:rsidRDefault="00000000">
      <w:pPr>
        <w:pStyle w:val="ListBullet"/>
      </w:pPr>
      <w:r>
        <w:t>Annual Fuel Yield: For a narrowbody airliner at 3,000 flight hours/year at 2,400 kg/hr, saves 108 metric tons (135,000 liters) of Jet A-1 per aircraft per year</w:t>
      </w:r>
    </w:p>
    <w:p w14:paraId="32F4A37F" w14:textId="77777777" w:rsidR="00866AF2" w:rsidRDefault="00000000">
      <w:pPr>
        <w:pStyle w:val="ListBullet"/>
      </w:pPr>
      <w:r>
        <w:t>Direct Cash Savings: At EUR 0.78/liter, saves ~EUR 105,000 per aircraft annually. For 100 aircraft: ~EUR 10.5 Million annual direct cash savings</w:t>
      </w:r>
    </w:p>
    <w:p w14:paraId="6E30FFB9" w14:textId="77777777" w:rsidR="00866AF2" w:rsidRDefault="00000000">
      <w:pPr>
        <w:pStyle w:val="Heading1"/>
      </w:pPr>
      <w:r>
        <w:t>9. Strategic Statement on Collaboration, Risk, and Adaptive Iteration</w:t>
      </w:r>
    </w:p>
    <w:p w14:paraId="68CF4C13" w14:textId="77777777" w:rsidR="00866AF2" w:rsidRDefault="00000000">
      <w:r>
        <w:t>Crystal Paradigm is positioned for deep, long-term co-development partnerships with leading institutions and industry players. Advanced aerospace engineering is an adaptive discipline where digital twins must be continuously refined through physical interaction.</w:t>
      </w:r>
    </w:p>
    <w:p w14:paraId="73A65615" w14:textId="77777777" w:rsidR="00866AF2" w:rsidRDefault="00000000">
      <w:r>
        <w:t>We maintain complete scientific transparency regarding our platform's current continuum-scale constraints (the inability of 1D/3D FEA solvers to track discrete grain boundary sliding in isolation) and the physical reality of manufacturing residual tensile stresses, which can shift initial safety margins by 8-12% prior to post-deposition vacuum thermal relaxation steps.</w:t>
      </w:r>
    </w:p>
    <w:p w14:paraId="4F415405" w14:textId="77777777" w:rsidR="00866AF2" w:rsidRDefault="00000000">
      <w:r>
        <w:t>If any component of our predictive models or material layers experiences a variation during laboratory testing, we view this as an essential optimization coordinate within our active learning loop. Every real-world discrepancy provides data to retrain surrogate models, close the digital twin gap, and calibrate additive manufacturing parameters.</w:t>
      </w:r>
    </w:p>
    <w:p w14:paraId="18412F57" w14:textId="77777777" w:rsidR="004269E6" w:rsidRDefault="00000000">
      <w:r>
        <w:t>Crystal Paradigm specifically seeks SCIDIP incubation support for three critical enablers: (1) Access to IIT Delhi's high-temperature materials characterization laboratories, (2) Technology incubation and collaborative support from IIT Delhi faculty in experimental validation methodologies, and (3) Sona Comstar's industry network for downstream commercialization pathways in extreme-environment automotive and energy applications.</w:t>
      </w:r>
    </w:p>
    <w:p w14:paraId="17C1E92F" w14:textId="77777777" w:rsidR="00866AF2" w:rsidRDefault="00000000">
      <w:r>
        <w:t>By introducing this advanced FGM and transpiration cooling architecture, we contribute a high-value technical innovation to the advanced materials landscape. Crystal Paradigm is fully prepared to adapt to design modifications and collaborate closely with institutional and industry partners. We are committed to delivering the exact, airworthy physical standards required for a successful TRL 4 validation.</w:t>
      </w:r>
    </w:p>
    <w:p w14:paraId="051B7BFB" w14:textId="77777777" w:rsidR="00866AF2" w:rsidRDefault="00000000">
      <w:pPr>
        <w:pStyle w:val="Heading1"/>
      </w:pPr>
      <w:r>
        <w:t>10. References</w:t>
      </w:r>
    </w:p>
    <w:p w14:paraId="0A6FFFBD" w14:textId="77777777" w:rsidR="00866AF2" w:rsidRDefault="00000000">
      <w:pPr>
        <w:pStyle w:val="ListBullet"/>
      </w:pPr>
      <w:r>
        <w:t>[1] Crystal Paradigm Internal: Complete inverse design pipeline documentation</w:t>
      </w:r>
    </w:p>
    <w:p w14:paraId="05B2A7F1" w14:textId="77777777" w:rsidR="00866AF2" w:rsidRDefault="00000000">
      <w:pPr>
        <w:pStyle w:val="ListBullet"/>
      </w:pPr>
      <w:r>
        <w:t>[2] Crystal Paradigm Internal: Isolated-boundary data ingestion module</w:t>
      </w:r>
    </w:p>
    <w:p w14:paraId="31E17775" w14:textId="77777777" w:rsidR="00866AF2" w:rsidRDefault="00000000">
      <w:pPr>
        <w:pStyle w:val="ListBullet"/>
      </w:pPr>
      <w:r>
        <w:t>[3] Crystal Paradigm Internal: 1D thermoelastic FEA rapid screening module</w:t>
      </w:r>
    </w:p>
    <w:p w14:paraId="31B0921B" w14:textId="77777777" w:rsidR="00866AF2" w:rsidRDefault="00000000">
      <w:pPr>
        <w:pStyle w:val="ListBullet"/>
      </w:pPr>
      <w:r>
        <w:t>[4] Crystal Paradigm Internal: External HPC job configuration (3D FEniCS + MACE MD)</w:t>
      </w:r>
    </w:p>
    <w:p w14:paraId="5DE1DE0A" w14:textId="77777777" w:rsidR="00866AF2" w:rsidRDefault="00000000">
      <w:pPr>
        <w:pStyle w:val="ListBullet"/>
      </w:pPr>
      <w:r>
        <w:t>[5] Crystal Paradigm Internal: Candidate A external validation evidence (SF = 1.66)</w:t>
      </w:r>
    </w:p>
    <w:p w14:paraId="3D10035E" w14:textId="77777777" w:rsidR="00866AF2" w:rsidRDefault="00000000">
      <w:pPr>
        <w:pStyle w:val="ListBullet"/>
      </w:pPr>
      <w:r>
        <w:t>[6] Crystal Paradigm Internal: Top candidate validation report (Aerospace SF = 1.71, 798 MPa)</w:t>
      </w:r>
    </w:p>
    <w:p w14:paraId="2A5E0FE8" w14:textId="77777777" w:rsidR="00866AF2" w:rsidRDefault="00000000">
      <w:pPr>
        <w:pStyle w:val="ListBullet"/>
      </w:pPr>
      <w:r>
        <w:t>[7] Crystal Paradigm Internal: 11-layer discrete manufacturing recipe</w:t>
      </w:r>
    </w:p>
    <w:p w14:paraId="7594FA30" w14:textId="77777777" w:rsidR="00866AF2" w:rsidRDefault="00000000">
      <w:pPr>
        <w:pStyle w:val="ListBullet"/>
      </w:pPr>
      <w:r>
        <w:t>[8] Crystal Paradigm Internal: Phase stability and oxidation analysis outputs</w:t>
      </w:r>
    </w:p>
    <w:p w14:paraId="6F4F0B81" w14:textId="77777777" w:rsidR="00866AF2" w:rsidRDefault="00000000">
      <w:pPr>
        <w:pStyle w:val="ListBullet"/>
      </w:pPr>
      <w:r>
        <w:t>[9] Materials Project (v2024.5): DFT formation energy and bulk modulus database</w:t>
      </w:r>
    </w:p>
    <w:p w14:paraId="46794EAC" w14:textId="77777777" w:rsidR="00866AF2" w:rsidRDefault="00000000">
      <w:pPr>
        <w:pStyle w:val="ListBullet"/>
      </w:pPr>
      <w:r>
        <w:t>[10] AFLOW / OQMD Database Records: Thermodynamic stability and elastic constants</w:t>
      </w:r>
    </w:p>
    <w:p w14:paraId="36CBEB3C" w14:textId="77777777" w:rsidR="00866AF2" w:rsidRDefault="00000000">
      <w:pPr>
        <w:pStyle w:val="ListBullet"/>
      </w:pPr>
      <w:r>
        <w:t>[11] Gorsse 2025 Sustainability Model: Embodied energy and supply chain risk assessment</w:t>
      </w:r>
    </w:p>
    <w:p w14:paraId="480C32F7" w14:textId="77777777" w:rsidR="00866AF2" w:rsidRDefault="00000000">
      <w:pPr>
        <w:pStyle w:val="ListBullet"/>
      </w:pPr>
      <w:r>
        <w:t>[12] SCIDIP (Sona Comstar - IIT Delhi Innovation Program): Program focus areas and evaluation criteria</w:t>
      </w:r>
    </w:p>
    <w:p w14:paraId="170C033A" w14:textId="77777777" w:rsidR="00866AF2" w:rsidRDefault="00000000">
      <w:pPr>
        <w:pStyle w:val="ListBullet"/>
      </w:pPr>
      <w:r>
        <w:t>[13] Senkov et al., Refractory High-Entropy Alloys: Phase stability and mechanical properties</w:t>
      </w:r>
    </w:p>
    <w:p w14:paraId="42E48536" w14:textId="77777777" w:rsidR="00866AF2" w:rsidRDefault="00000000">
      <w:pPr>
        <w:pStyle w:val="ListBullet"/>
      </w:pPr>
      <w:r>
        <w:t>[14] TCHEA4 Thermodynamic Database: CALPHAD phase equilibrium calculations for HEAs</w:t>
      </w:r>
    </w:p>
    <w:p w14:paraId="055F45B2" w14:textId="77777777" w:rsidR="00866AF2" w:rsidRDefault="00000000">
      <w:r>
        <w:t>Full pipeline documentation and source code are maintained in a private repository and are available for review under mutual NDA. A recorded 5-minute video demonstration of the end-to-end pipeline execution is available upon request.</w:t>
      </w:r>
    </w:p>
    <w:p w14:paraId="33016F7E" w14:textId="77777777" w:rsidR="00866AF2" w:rsidRDefault="00000000">
      <w:r>
        <w:br w:type="page"/>
      </w:r>
    </w:p>
    <w:p w14:paraId="591F0698" w14:textId="77777777" w:rsidR="00866AF2" w:rsidRDefault="00000000">
      <w:pPr>
        <w:pStyle w:val="Heading1"/>
      </w:pPr>
      <w:r>
        <w:t>Appendix A: Technical Data &amp; Supporting Analysis</w:t>
      </w:r>
    </w:p>
    <w:p w14:paraId="164CDC8C" w14:textId="77777777" w:rsidR="00866AF2" w:rsidRDefault="00000000">
      <w:pPr>
        <w:pStyle w:val="Heading2"/>
      </w:pPr>
      <w:r>
        <w:t>A.1. Complete Workflow Schematic</w:t>
      </w:r>
    </w:p>
    <w:p w14:paraId="1DB5ACD8" w14:textId="77777777" w:rsidR="00866AF2" w:rsidRDefault="00000000">
      <w:r>
        <w:t>Dataset Ingestion (Materials Project / AFLOW / OQMD / JARVIS)</w:t>
      </w:r>
    </w:p>
    <w:p w14:paraId="5DB4A6F8" w14:textId="77777777" w:rsidR="00866AF2" w:rsidRDefault="00000000">
      <w:r>
        <w:t xml:space="preserve">      |</w:t>
      </w:r>
    </w:p>
    <w:p w14:paraId="76766363" w14:textId="77777777" w:rsidR="00866AF2" w:rsidRDefault="00000000">
      <w:r>
        <w:t>Empirical Gating (d &lt;= 6.6%, DHmix, O &gt;= 1.1)</w:t>
      </w:r>
    </w:p>
    <w:p w14:paraId="36CFD15D" w14:textId="77777777" w:rsidR="00866AF2" w:rsidRDefault="00000000">
      <w:r>
        <w:t xml:space="preserve">      |</w:t>
      </w:r>
    </w:p>
    <w:p w14:paraId="5D9FB520" w14:textId="77777777" w:rsidR="00866AF2" w:rsidRDefault="00000000">
      <w:r>
        <w:t>Random Forest Surrogate (R2 = 0.977, MAE = 8.11 GPa)</w:t>
      </w:r>
    </w:p>
    <w:p w14:paraId="52F46C62" w14:textId="77777777" w:rsidR="00866AF2" w:rsidRDefault="00000000">
      <w:r>
        <w:t xml:space="preserve">      |</w:t>
      </w:r>
    </w:p>
    <w:p w14:paraId="05EECAB0" w14:textId="77777777" w:rsidR="00866AF2" w:rsidRDefault="00000000">
      <w:r>
        <w:t>Constrained Differential Evolution Optimizer (9-element hypercube)</w:t>
      </w:r>
    </w:p>
    <w:p w14:paraId="34E288AC" w14:textId="77777777" w:rsidR="00866AF2" w:rsidRDefault="00000000">
      <w:r>
        <w:t xml:space="preserve">      |</w:t>
      </w:r>
    </w:p>
    <w:p w14:paraId="71A1F3F1" w14:textId="77777777" w:rsidR="00866AF2" w:rsidRDefault="00000000">
      <w:r>
        <w:t>1D Thermoelastic FEA (Tridiagonal Solver, local rapid screening)</w:t>
      </w:r>
    </w:p>
    <w:p w14:paraId="6D184D00" w14:textId="77777777" w:rsidR="00866AF2" w:rsidRDefault="00000000">
      <w:r>
        <w:t xml:space="preserve">      |</w:t>
      </w:r>
    </w:p>
    <w:p w14:paraId="584EDAEE" w14:textId="77777777" w:rsidR="00866AF2" w:rsidRDefault="00000000">
      <w:r>
        <w:t>3D FEniCS Thermomechanical FEA (External HPC, 10,000 cycles)</w:t>
      </w:r>
    </w:p>
    <w:p w14:paraId="6431C5E2" w14:textId="77777777" w:rsidR="00866AF2" w:rsidRDefault="00000000">
      <w:r>
        <w:t xml:space="preserve">      |</w:t>
      </w:r>
    </w:p>
    <w:p w14:paraId="64815EBE" w14:textId="77777777" w:rsidR="00866AF2" w:rsidRDefault="00000000">
      <w:r>
        <w:t>CALPHAD Phase Stability (TCHEA4, Gibbs energy minimization 300-3000 K)</w:t>
      </w:r>
    </w:p>
    <w:p w14:paraId="521C9197" w14:textId="77777777" w:rsidR="00866AF2" w:rsidRDefault="00000000">
      <w:r>
        <w:t xml:space="preserve">      |</w:t>
      </w:r>
    </w:p>
    <w:p w14:paraId="2D0A1D48" w14:textId="77777777" w:rsidR="00866AF2" w:rsidRDefault="00000000">
      <w:r>
        <w:t>MACE/CHGNet MLFF Molecular Dynamics (20,000-atom, 500 ps, oxidation kinetics)</w:t>
      </w:r>
    </w:p>
    <w:p w14:paraId="78121B4F" w14:textId="77777777" w:rsidR="00866AF2" w:rsidRDefault="00000000">
      <w:r>
        <w:t xml:space="preserve">      |</w:t>
      </w:r>
    </w:p>
    <w:p w14:paraId="69AEA2D4" w14:textId="77777777" w:rsidR="00866AF2" w:rsidRDefault="00000000">
      <w:r>
        <w:t>Pareto Multi-Objective Gradient Optimization (35+ FGM architectures)</w:t>
      </w:r>
    </w:p>
    <w:p w14:paraId="6BA9860A" w14:textId="77777777" w:rsidR="00866AF2" w:rsidRDefault="00000000">
      <w:r>
        <w:t xml:space="preserve">      |</w:t>
      </w:r>
    </w:p>
    <w:p w14:paraId="61882478" w14:textId="77777777" w:rsidR="00866AF2" w:rsidRDefault="00000000">
      <w:r>
        <w:t>LENS Manufacturing Recipe Generation (11-layer discrete matrix)</w:t>
      </w:r>
    </w:p>
    <w:p w14:paraId="3EEBECBB" w14:textId="77777777" w:rsidR="00866AF2" w:rsidRDefault="00000000">
      <w:r>
        <w:t xml:space="preserve">      |</w:t>
      </w:r>
    </w:p>
    <w:p w14:paraId="7BE5934D" w14:textId="77777777" w:rsidR="00866AF2" w:rsidRDefault="00000000">
      <w:r>
        <w:t>Experimental Validation (Coupon Fabrication &amp; Automated Thermal Cycling Rig Testing)</w:t>
      </w:r>
    </w:p>
    <w:p w14:paraId="3150FB37" w14:textId="77777777" w:rsidR="00866AF2" w:rsidRDefault="00000000">
      <w:pPr>
        <w:pStyle w:val="Heading2"/>
      </w:pPr>
      <w:r>
        <w:t>A.2. Physics Constraints Ablation Findings</w:t>
      </w:r>
    </w:p>
    <w:p w14:paraId="0AC24BC5" w14:textId="77777777" w:rsidR="00866AF2" w:rsidRDefault="00000000">
      <w:r>
        <w:t>This ablation study demonstrates the critical importance of physics constraints:</w:t>
      </w:r>
    </w:p>
    <w:tbl>
      <w:tblPr>
        <w:tblStyle w:val="LightGrid-Accent1"/>
        <w:tblW w:w="0" w:type="auto"/>
        <w:jc w:val="center"/>
        <w:tblLook w:val="04A0" w:firstRow="1" w:lastRow="0" w:firstColumn="1" w:lastColumn="0" w:noHBand="0" w:noVBand="1"/>
      </w:tblPr>
      <w:tblGrid>
        <w:gridCol w:w="2880"/>
        <w:gridCol w:w="2880"/>
        <w:gridCol w:w="2880"/>
      </w:tblGrid>
      <w:tr w:rsidR="00866AF2" w14:paraId="3C26247F"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E16F6D" w14:textId="77777777" w:rsidR="00866AF2" w:rsidRDefault="00000000">
            <w:r>
              <w:rPr>
                <w:sz w:val="20"/>
              </w:rPr>
              <w:t>Constraint Configuration</w:t>
            </w:r>
          </w:p>
        </w:tc>
        <w:tc>
          <w:tcPr>
            <w:tcW w:w="2880" w:type="dxa"/>
          </w:tcPr>
          <w:p w14:paraId="157C7E8B"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Safety Factor</w:t>
            </w:r>
          </w:p>
        </w:tc>
        <w:tc>
          <w:tcPr>
            <w:tcW w:w="2880" w:type="dxa"/>
          </w:tcPr>
          <w:p w14:paraId="640F5B15"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Key Outcome</w:t>
            </w:r>
          </w:p>
        </w:tc>
      </w:tr>
      <w:tr w:rsidR="00866AF2" w14:paraId="72EFBD4C"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52FD3F" w14:textId="77777777" w:rsidR="00866AF2" w:rsidRDefault="00000000">
            <w:r>
              <w:rPr>
                <w:sz w:val="20"/>
              </w:rPr>
              <w:t>Baseline (No Constraints)</w:t>
            </w:r>
          </w:p>
        </w:tc>
        <w:tc>
          <w:tcPr>
            <w:tcW w:w="2880" w:type="dxa"/>
          </w:tcPr>
          <w:p w14:paraId="70CA1CF2"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1.15</w:t>
            </w:r>
          </w:p>
        </w:tc>
        <w:tc>
          <w:tcPr>
            <w:tcW w:w="2880" w:type="dxa"/>
          </w:tcPr>
          <w:p w14:paraId="14C55F8F"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High-density, brittle sigma-phase,</w:t>
            </w:r>
            <w:r>
              <w:rPr>
                <w:sz w:val="20"/>
              </w:rPr>
              <w:br/>
              <w:t>Hf-dominant, cost &gt;$280/kg</w:t>
            </w:r>
          </w:p>
        </w:tc>
      </w:tr>
      <w:tr w:rsidR="00866AF2" w14:paraId="526868D8"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3E1055" w14:textId="77777777" w:rsidR="00866AF2" w:rsidRDefault="00000000">
            <w:r>
              <w:rPr>
                <w:sz w:val="20"/>
              </w:rPr>
              <w:t>+ VEC Limit (&lt;6.8)</w:t>
            </w:r>
          </w:p>
        </w:tc>
        <w:tc>
          <w:tcPr>
            <w:tcW w:w="2880" w:type="dxa"/>
          </w:tcPr>
          <w:p w14:paraId="5205734E"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1.42</w:t>
            </w:r>
          </w:p>
        </w:tc>
        <w:tc>
          <w:tcPr>
            <w:tcW w:w="2880" w:type="dxa"/>
          </w:tcPr>
          <w:p w14:paraId="36255CDD"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Eliminated sigma-phase risk</w:t>
            </w:r>
          </w:p>
        </w:tc>
      </w:tr>
      <w:tr w:rsidR="00866AF2" w14:paraId="1D6BED12"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8B0927" w14:textId="77777777" w:rsidR="00866AF2" w:rsidRDefault="00000000">
            <w:r>
              <w:rPr>
                <w:sz w:val="20"/>
              </w:rPr>
              <w:t>+ Density Limit (&lt;11.0 g/cm3)</w:t>
            </w:r>
          </w:p>
        </w:tc>
        <w:tc>
          <w:tcPr>
            <w:tcW w:w="2880" w:type="dxa"/>
          </w:tcPr>
          <w:p w14:paraId="12EAD91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1.58</w:t>
            </w:r>
          </w:p>
        </w:tc>
        <w:tc>
          <w:tcPr>
            <w:tcW w:w="2880" w:type="dxa"/>
          </w:tcPr>
          <w:p w14:paraId="5697ED00"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Forced Ti/Zr substitution</w:t>
            </w:r>
          </w:p>
        </w:tc>
      </w:tr>
      <w:tr w:rsidR="00866AF2" w14:paraId="042949D1"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729DBC" w14:textId="77777777" w:rsidR="00866AF2" w:rsidRDefault="00000000">
            <w:r>
              <w:rPr>
                <w:sz w:val="20"/>
              </w:rPr>
              <w:t>+ Combined (VEC+Density+Oxidation)</w:t>
            </w:r>
          </w:p>
        </w:tc>
        <w:tc>
          <w:tcPr>
            <w:tcW w:w="2880" w:type="dxa"/>
          </w:tcPr>
          <w:p w14:paraId="581A191A"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1.5981 (1D) / 1.71 (3D)</w:t>
            </w:r>
          </w:p>
        </w:tc>
        <w:tc>
          <w:tcPr>
            <w:tcW w:w="2880" w:type="dxa"/>
          </w:tcPr>
          <w:p w14:paraId="7C41D22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Optimal candidate; cost ~$170/kg</w:t>
            </w:r>
          </w:p>
        </w:tc>
      </w:tr>
    </w:tbl>
    <w:p w14:paraId="39276317" w14:textId="77777777" w:rsidR="00866AF2" w:rsidRDefault="00000000">
      <w:r>
        <w:rPr>
          <w:b/>
        </w:rPr>
        <w:t xml:space="preserve">Key Finding: </w:t>
      </w:r>
      <w:r>
        <w:t>Physics constraints are essential. Unconstrained optimization converges to infeasible, expensive, and brittle solutions. Our constrained pipeline improved Safety Factor from 1.15 to 1.71 through systematic physics enforcement.</w:t>
      </w:r>
    </w:p>
    <w:p w14:paraId="371142BF" w14:textId="77777777" w:rsidR="00866AF2" w:rsidRDefault="00000000">
      <w:pPr>
        <w:pStyle w:val="Heading2"/>
      </w:pPr>
      <w:r>
        <w:t>A.3. High-Fidelity External Validation Results</w:t>
      </w:r>
    </w:p>
    <w:p w14:paraId="2C3A679D" w14:textId="77777777" w:rsidR="00866AF2" w:rsidRDefault="00000000">
      <w:pPr>
        <w:pStyle w:val="Heading3"/>
      </w:pPr>
      <w:r>
        <w:t>3D Thermomechanical FEA (FEniCS):</w:t>
      </w:r>
    </w:p>
    <w:p w14:paraId="57A5BDC9" w14:textId="77777777" w:rsidR="00866AF2" w:rsidRDefault="00000000">
      <w:pPr>
        <w:pStyle w:val="ListBullet"/>
      </w:pPr>
      <w:r>
        <w:t>Modeled 10,000 thermal cycles (1400 K to 300 K)</w:t>
      </w:r>
    </w:p>
    <w:p w14:paraId="0C6EBA5D" w14:textId="77777777" w:rsidR="00866AF2" w:rsidRDefault="00000000">
      <w:pPr>
        <w:pStyle w:val="ListBullet"/>
      </w:pPr>
      <w:r>
        <w:t>Combined loading: 15,000 RPM centrifugal + thermal gradient</w:t>
      </w:r>
    </w:p>
    <w:p w14:paraId="0EF03C4F" w14:textId="77777777" w:rsidR="00866AF2" w:rsidRDefault="00000000">
      <w:pPr>
        <w:pStyle w:val="ListBullet"/>
      </w:pPr>
      <w:r>
        <w:t>Result: Aerospace Safety Factor = 1.71, Von Mises stress = 798 MPa (exceeds 1.50 threshold by 14%)</w:t>
      </w:r>
    </w:p>
    <w:p w14:paraId="314650DB" w14:textId="77777777" w:rsidR="00866AF2" w:rsidRDefault="00000000">
      <w:pPr>
        <w:pStyle w:val="ListBullet"/>
      </w:pPr>
      <w:r>
        <w:t>Interface shear stress: 15.95 MPa (minimized via Pareto-optimal n = 1.1 gradient)</w:t>
      </w:r>
    </w:p>
    <w:p w14:paraId="7198B733" w14:textId="77777777" w:rsidR="00866AF2" w:rsidRDefault="00000000">
      <w:pPr>
        <w:pStyle w:val="Heading3"/>
      </w:pPr>
      <w:r>
        <w:t>CALPHAD Phase Stability (TCHEA4 Database):</w:t>
      </w:r>
    </w:p>
    <w:p w14:paraId="0AB910F9" w14:textId="77777777" w:rsidR="00866AF2" w:rsidRDefault="00000000">
      <w:pPr>
        <w:pStyle w:val="ListBullet"/>
      </w:pPr>
      <w:r>
        <w:t>Gibbs free energy minimized from 300 K to 3000 K</w:t>
      </w:r>
    </w:p>
    <w:p w14:paraId="78CCD43B" w14:textId="77777777" w:rsidR="00866AF2" w:rsidRDefault="00000000">
      <w:pPr>
        <w:pStyle w:val="ListBullet"/>
      </w:pPr>
      <w:r>
        <w:t>Confirmed stable BCC_A2 single phase</w:t>
      </w:r>
    </w:p>
    <w:p w14:paraId="64F6C8FA" w14:textId="77777777" w:rsidR="00866AF2" w:rsidRDefault="00000000">
      <w:pPr>
        <w:pStyle w:val="ListBullet"/>
      </w:pPr>
      <w:r>
        <w:t>Solidus temperature: ~2727 K (vs operating 1400 K = 1327 K safety margin)</w:t>
      </w:r>
    </w:p>
    <w:p w14:paraId="6A890E3D" w14:textId="77777777" w:rsidR="00866AF2" w:rsidRDefault="00000000">
      <w:pPr>
        <w:pStyle w:val="ListBullet"/>
      </w:pPr>
      <w:r>
        <w:t>Sigma phase risk: &lt;5% (well below 10% threshold)</w:t>
      </w:r>
    </w:p>
    <w:p w14:paraId="26F417D3" w14:textId="77777777" w:rsidR="00866AF2" w:rsidRDefault="00000000">
      <w:pPr>
        <w:pStyle w:val="ListBullet"/>
      </w:pPr>
      <w:r>
        <w:t>VEC = 5.02 (deep within stable BCC window, far below sigma onset at VEC 6.4-7.0)</w:t>
      </w:r>
    </w:p>
    <w:p w14:paraId="7D42AF13" w14:textId="77777777" w:rsidR="00866AF2" w:rsidRDefault="00000000">
      <w:pPr>
        <w:pStyle w:val="Heading3"/>
      </w:pPr>
      <w:r>
        <w:t>Molecular Dynamics Oxidation Kinetics (MACE &amp; CHGNet MLFFs):</w:t>
      </w:r>
    </w:p>
    <w:p w14:paraId="0243594D" w14:textId="77777777" w:rsidR="00866AF2" w:rsidRDefault="00000000">
      <w:pPr>
        <w:pStyle w:val="ListBullet"/>
      </w:pPr>
      <w:r>
        <w:t>20,000-atom supercell simulations over 500 ps</w:t>
      </w:r>
    </w:p>
    <w:p w14:paraId="6CC599F0" w14:textId="77777777" w:rsidR="00866AF2" w:rsidRDefault="00000000">
      <w:pPr>
        <w:pStyle w:val="ListBullet"/>
      </w:pPr>
      <w:r>
        <w:t>Modeled oxygen diffusion under thermal/mechanical stress gradients</w:t>
      </w:r>
    </w:p>
    <w:p w14:paraId="73AF8A84" w14:textId="77777777" w:rsidR="00866AF2" w:rsidRDefault="00000000">
      <w:pPr>
        <w:pStyle w:val="ListBullet"/>
      </w:pPr>
      <w:r>
        <w:t>Cr2O3 scale formation: Protective up to 1050 C</w:t>
      </w:r>
    </w:p>
    <w:p w14:paraId="3061E450" w14:textId="77777777" w:rsidR="00866AF2" w:rsidRDefault="00000000">
      <w:pPr>
        <w:pStyle w:val="ListBullet"/>
      </w:pPr>
      <w:r>
        <w:t>Al2O3 barrier (2.8 at% Al micro-addition): Highly stable to 1600 C</w:t>
      </w:r>
    </w:p>
    <w:p w14:paraId="36809C5E" w14:textId="77777777" w:rsidR="00866AF2" w:rsidRDefault="00000000">
      <w:pPr>
        <w:pStyle w:val="ListBullet"/>
      </w:pPr>
      <w:r>
        <w:t>Result: Oxidation mass gain = 7.5 mg/cm2 (exceptional; target &lt; 10 mg/cm2)</w:t>
      </w:r>
    </w:p>
    <w:p w14:paraId="7EFB8AAD" w14:textId="77777777" w:rsidR="00866AF2" w:rsidRDefault="00000000">
      <w:pPr>
        <w:pStyle w:val="ListBullet"/>
      </w:pPr>
      <w:r>
        <w:t>Mean Square Displacement confirmed controlled atomic diffusion at 1400 K</w:t>
      </w:r>
    </w:p>
    <w:p w14:paraId="13040876" w14:textId="77777777" w:rsidR="00866AF2" w:rsidRDefault="00000000">
      <w:pPr>
        <w:pStyle w:val="Heading2"/>
      </w:pPr>
      <w:r>
        <w:t>A.4. Thermal Cycling &amp; Fatigue Analysis</w:t>
      </w:r>
    </w:p>
    <w:p w14:paraId="1CC542DA" w14:textId="77777777" w:rsidR="00866AF2" w:rsidRDefault="00000000">
      <w:pPr>
        <w:pStyle w:val="Heading3"/>
      </w:pPr>
      <w:r>
        <w:t>Paris Law Crack Growth Simulation:</w:t>
      </w:r>
    </w:p>
    <w:p w14:paraId="56A27092" w14:textId="77777777" w:rsidR="00866AF2" w:rsidRDefault="00000000">
      <w:pPr>
        <w:pStyle w:val="ListBullet"/>
      </w:pPr>
      <w:r>
        <w:t>Initial micro-crack: 1.0 um at interface</w:t>
      </w:r>
    </w:p>
    <w:p w14:paraId="30C586E7" w14:textId="77777777" w:rsidR="00866AF2" w:rsidRDefault="00000000">
      <w:pPr>
        <w:pStyle w:val="ListBullet"/>
      </w:pPr>
      <w:r>
        <w:t>10,000 thermal cycles at 1400 K under 850 MPa centrifugal stress</w:t>
      </w:r>
    </w:p>
    <w:p w14:paraId="24D51B0B" w14:textId="77777777" w:rsidR="00866AF2" w:rsidRDefault="00000000">
      <w:pPr>
        <w:pStyle w:val="ListBullet"/>
      </w:pPr>
      <w:r>
        <w:t>Result: Zero propagation beyond 1.0 um; crack arrested by gradient architecture</w:t>
      </w:r>
    </w:p>
    <w:p w14:paraId="1E7B47A5" w14:textId="77777777" w:rsidR="00866AF2" w:rsidRDefault="00000000">
      <w:pPr>
        <w:pStyle w:val="Heading3"/>
      </w:pPr>
      <w:r>
        <w:t>CTE Mismatch Reduction:</w:t>
      </w:r>
    </w:p>
    <w:p w14:paraId="7A7845D3" w14:textId="77777777" w:rsidR="00866AF2" w:rsidRDefault="00000000">
      <w:pPr>
        <w:pStyle w:val="ListBullet"/>
      </w:pPr>
      <w:r>
        <w:t>Candidate A: Standard CTE mismatch with LZO ceramic</w:t>
      </w:r>
    </w:p>
    <w:p w14:paraId="731BBB64" w14:textId="77777777" w:rsidR="00866AF2" w:rsidRDefault="00000000">
      <w:pPr>
        <w:pStyle w:val="ListBullet"/>
      </w:pPr>
      <w:r>
        <w:t>Top Candidate: 6% improved CTE mismatch reduction vs Candidate A</w:t>
      </w:r>
    </w:p>
    <w:p w14:paraId="09F0E265" w14:textId="77777777" w:rsidR="00866AF2" w:rsidRDefault="00000000">
      <w:pPr>
        <w:pStyle w:val="ListBullet"/>
      </w:pPr>
      <w:r>
        <w:t>Gradient architecture (n=1.1) compensates for residual mismatch, restricting interface shear to 15.95 MPa</w:t>
      </w:r>
    </w:p>
    <w:p w14:paraId="7929E1ED" w14:textId="77777777" w:rsidR="00866AF2" w:rsidRDefault="00000000">
      <w:pPr>
        <w:pStyle w:val="Heading2"/>
      </w:pPr>
      <w:r>
        <w:t>A.5. Manufacturing Process Validation</w:t>
      </w:r>
    </w:p>
    <w:p w14:paraId="56CD4BDD" w14:textId="77777777" w:rsidR="00866AF2" w:rsidRDefault="00000000">
      <w:pPr>
        <w:pStyle w:val="ListBullet"/>
      </w:pPr>
      <w:r>
        <w:t>11-layer discrete recipe translates continuous n=1.1 gradient into actionable fabrication steps</w:t>
      </w:r>
    </w:p>
    <w:p w14:paraId="1CE44669" w14:textId="77777777" w:rsidR="00866AF2" w:rsidRDefault="00000000">
      <w:pPr>
        <w:pStyle w:val="ListBullet"/>
      </w:pPr>
      <w:r>
        <w:t>Layer thickness: 0.5 mm per layer across 5.0 mm total FGM transition zone</w:t>
      </w:r>
    </w:p>
    <w:p w14:paraId="7C6DFDE9" w14:textId="77777777" w:rsidR="00866AF2" w:rsidRDefault="00000000">
      <w:pPr>
        <w:pStyle w:val="ListBullet"/>
      </w:pPr>
      <w:r>
        <w:t>Laser parameters: 200-400 W power, 500-1000 mm/min scan speed</w:t>
      </w:r>
    </w:p>
    <w:p w14:paraId="22B2D6B2" w14:textId="77777777" w:rsidR="00866AF2" w:rsidRDefault="00000000">
      <w:pPr>
        <w:pStyle w:val="ListBullet"/>
      </w:pPr>
      <w:r>
        <w:t>Powder flow: Dual-hopper system (alloy + ceramic)</w:t>
      </w:r>
    </w:p>
    <w:p w14:paraId="41E338AA" w14:textId="77777777" w:rsidR="00866AF2" w:rsidRDefault="00000000">
      <w:pPr>
        <w:pStyle w:val="Heading3"/>
      </w:pPr>
      <w:r>
        <w:t>Process Residuals:</w:t>
      </w:r>
    </w:p>
    <w:p w14:paraId="4501AEF8" w14:textId="77777777" w:rsidR="00866AF2" w:rsidRDefault="00000000">
      <w:pPr>
        <w:pStyle w:val="ListBullet"/>
      </w:pPr>
      <w:r>
        <w:t>Residual tensile stresses from LENS deposition: 50-150 MPa</w:t>
      </w:r>
    </w:p>
    <w:p w14:paraId="6CA2386F" w14:textId="77777777" w:rsidR="00866AF2" w:rsidRDefault="00000000">
      <w:pPr>
        <w:pStyle w:val="ListBullet"/>
      </w:pPr>
      <w:r>
        <w:t>Vacuum thermal relaxation (1200 C, 4 hours): Reduces residuals to &lt; 30 MPa</w:t>
      </w:r>
    </w:p>
    <w:p w14:paraId="265BDA16" w14:textId="77777777" w:rsidR="00866AF2" w:rsidRDefault="00000000">
      <w:pPr>
        <w:pStyle w:val="ListBullet"/>
      </w:pPr>
      <w:r>
        <w:t>Safety margin impact: 8-12% reduction in SF (fully accounted for in design margin)</w:t>
      </w:r>
    </w:p>
    <w:p w14:paraId="2CCA36DD" w14:textId="77777777" w:rsidR="00866AF2" w:rsidRDefault="00000000">
      <w:pPr>
        <w:pStyle w:val="Heading2"/>
      </w:pPr>
      <w:r>
        <w:t>A.6. Sustainability &amp; Supply Chain Analysis (Gorsse 2025 Framework)</w:t>
      </w:r>
    </w:p>
    <w:tbl>
      <w:tblPr>
        <w:tblStyle w:val="LightGrid-Accent1"/>
        <w:tblW w:w="0" w:type="auto"/>
        <w:jc w:val="center"/>
        <w:tblLook w:val="04A0" w:firstRow="1" w:lastRow="0" w:firstColumn="1" w:lastColumn="0" w:noHBand="0" w:noVBand="1"/>
      </w:tblPr>
      <w:tblGrid>
        <w:gridCol w:w="2160"/>
        <w:gridCol w:w="2160"/>
        <w:gridCol w:w="2160"/>
        <w:gridCol w:w="2160"/>
      </w:tblGrid>
      <w:tr w:rsidR="00866AF2" w14:paraId="4532B25D"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A790F4" w14:textId="77777777" w:rsidR="00866AF2" w:rsidRDefault="00000000">
            <w:r>
              <w:rPr>
                <w:sz w:val="20"/>
              </w:rPr>
              <w:t>Metric</w:t>
            </w:r>
          </w:p>
        </w:tc>
        <w:tc>
          <w:tcPr>
            <w:tcW w:w="2160" w:type="dxa"/>
          </w:tcPr>
          <w:p w14:paraId="0B70C439"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Candidate A</w:t>
            </w:r>
          </w:p>
        </w:tc>
        <w:tc>
          <w:tcPr>
            <w:tcW w:w="2160" w:type="dxa"/>
          </w:tcPr>
          <w:p w14:paraId="0024818C"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Top Candidate</w:t>
            </w:r>
          </w:p>
        </w:tc>
        <w:tc>
          <w:tcPr>
            <w:tcW w:w="2160" w:type="dxa"/>
          </w:tcPr>
          <w:p w14:paraId="138A8C3D"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Mitigation</w:t>
            </w:r>
          </w:p>
        </w:tc>
      </w:tr>
      <w:tr w:rsidR="00866AF2" w14:paraId="2E03EA8E"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F17674" w14:textId="77777777" w:rsidR="00866AF2" w:rsidRDefault="00000000">
            <w:r>
              <w:rPr>
                <w:sz w:val="20"/>
              </w:rPr>
              <w:t>Embodied Energy</w:t>
            </w:r>
          </w:p>
        </w:tc>
        <w:tc>
          <w:tcPr>
            <w:tcW w:w="2160" w:type="dxa"/>
          </w:tcPr>
          <w:p w14:paraId="7E5A15EE"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1755 MJ/kg</w:t>
            </w:r>
          </w:p>
        </w:tc>
        <w:tc>
          <w:tcPr>
            <w:tcW w:w="2160" w:type="dxa"/>
          </w:tcPr>
          <w:p w14:paraId="61084AD6"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1680 MJ/kg</w:t>
            </w:r>
          </w:p>
        </w:tc>
        <w:tc>
          <w:tcPr>
            <w:tcW w:w="2160" w:type="dxa"/>
          </w:tcPr>
          <w:p w14:paraId="162BEBDB"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Hf to Zr substitution</w:t>
            </w:r>
          </w:p>
        </w:tc>
      </w:tr>
      <w:tr w:rsidR="00866AF2" w14:paraId="344B6A33"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4A13B0" w14:textId="77777777" w:rsidR="00866AF2" w:rsidRDefault="00000000">
            <w:r>
              <w:rPr>
                <w:sz w:val="20"/>
              </w:rPr>
              <w:t>Supply Risk</w:t>
            </w:r>
          </w:p>
        </w:tc>
        <w:tc>
          <w:tcPr>
            <w:tcW w:w="2160" w:type="dxa"/>
          </w:tcPr>
          <w:p w14:paraId="1FE2396E"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MODERATE (high Hf)</w:t>
            </w:r>
          </w:p>
        </w:tc>
        <w:tc>
          <w:tcPr>
            <w:tcW w:w="2160" w:type="dxa"/>
          </w:tcPr>
          <w:p w14:paraId="44C1F96B"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LOW (Hf reduced &gt;75%)</w:t>
            </w:r>
          </w:p>
        </w:tc>
        <w:tc>
          <w:tcPr>
            <w:tcW w:w="2160" w:type="dxa"/>
          </w:tcPr>
          <w:p w14:paraId="608A4A25"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Diversified element base</w:t>
            </w:r>
          </w:p>
        </w:tc>
      </w:tr>
      <w:tr w:rsidR="00866AF2" w14:paraId="147B9D11"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35EA90" w14:textId="77777777" w:rsidR="00866AF2" w:rsidRDefault="00000000">
            <w:r>
              <w:rPr>
                <w:sz w:val="20"/>
              </w:rPr>
              <w:t>Raw Material Cost</w:t>
            </w:r>
          </w:p>
        </w:tc>
        <w:tc>
          <w:tcPr>
            <w:tcW w:w="2160" w:type="dxa"/>
          </w:tcPr>
          <w:p w14:paraId="4B746D74"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~$201/kg</w:t>
            </w:r>
          </w:p>
        </w:tc>
        <w:tc>
          <w:tcPr>
            <w:tcW w:w="2160" w:type="dxa"/>
          </w:tcPr>
          <w:p w14:paraId="4C97DE7F"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~$170/kg</w:t>
            </w:r>
          </w:p>
        </w:tc>
        <w:tc>
          <w:tcPr>
            <w:tcW w:w="2160" w:type="dxa"/>
          </w:tcPr>
          <w:p w14:paraId="793F826E"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15-20% reduction</w:t>
            </w:r>
          </w:p>
        </w:tc>
      </w:tr>
      <w:tr w:rsidR="00866AF2" w14:paraId="6A64E43A"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454640" w14:textId="77777777" w:rsidR="00866AF2" w:rsidRDefault="00000000">
            <w:r>
              <w:rPr>
                <w:sz w:val="20"/>
              </w:rPr>
              <w:t>Human Health Risk</w:t>
            </w:r>
          </w:p>
        </w:tc>
        <w:tc>
          <w:tcPr>
            <w:tcW w:w="2160" w:type="dxa"/>
          </w:tcPr>
          <w:p w14:paraId="2DA5047B"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c>
          <w:tcPr>
            <w:tcW w:w="2160" w:type="dxa"/>
          </w:tcPr>
          <w:p w14:paraId="2EA9A67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c>
          <w:tcPr>
            <w:tcW w:w="2160" w:type="dxa"/>
          </w:tcPr>
          <w:p w14:paraId="3D651860"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No toxic elements</w:t>
            </w:r>
          </w:p>
        </w:tc>
      </w:tr>
      <w:tr w:rsidR="00866AF2" w14:paraId="14096702"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947E9B" w14:textId="77777777" w:rsidR="00866AF2" w:rsidRDefault="00000000">
            <w:r>
              <w:rPr>
                <w:sz w:val="20"/>
              </w:rPr>
              <w:t>Recycling Potential</w:t>
            </w:r>
          </w:p>
        </w:tc>
        <w:tc>
          <w:tcPr>
            <w:tcW w:w="2160" w:type="dxa"/>
          </w:tcPr>
          <w:p w14:paraId="4AC9CB9C"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2160" w:type="dxa"/>
          </w:tcPr>
          <w:p w14:paraId="3A950E91"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2160" w:type="dxa"/>
          </w:tcPr>
          <w:p w14:paraId="035CA3E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Standard HEA recycling</w:t>
            </w:r>
          </w:p>
        </w:tc>
      </w:tr>
    </w:tbl>
    <w:p w14:paraId="64C41E55" w14:textId="77777777" w:rsidR="00866AF2" w:rsidRDefault="00000000">
      <w:pPr>
        <w:pStyle w:val="Heading2"/>
      </w:pPr>
      <w:r>
        <w:t>A.7. Benchmark Comparison: Crystal Paradigm vs. Industry Standards</w:t>
      </w:r>
    </w:p>
    <w:tbl>
      <w:tblPr>
        <w:tblStyle w:val="LightGrid-Accent1"/>
        <w:tblW w:w="0" w:type="auto"/>
        <w:jc w:val="center"/>
        <w:tblLook w:val="04A0" w:firstRow="1" w:lastRow="0" w:firstColumn="1" w:lastColumn="0" w:noHBand="0" w:noVBand="1"/>
      </w:tblPr>
      <w:tblGrid>
        <w:gridCol w:w="2160"/>
        <w:gridCol w:w="2160"/>
        <w:gridCol w:w="2160"/>
        <w:gridCol w:w="2160"/>
      </w:tblGrid>
      <w:tr w:rsidR="00866AF2" w14:paraId="1F26633C"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CC97FE" w14:textId="77777777" w:rsidR="00866AF2" w:rsidRDefault="00000000">
            <w:r>
              <w:rPr>
                <w:sz w:val="20"/>
              </w:rPr>
              <w:t>Property</w:t>
            </w:r>
          </w:p>
        </w:tc>
        <w:tc>
          <w:tcPr>
            <w:tcW w:w="2160" w:type="dxa"/>
          </w:tcPr>
          <w:p w14:paraId="0DEFC172"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Crystal Paradigm FGM</w:t>
            </w:r>
          </w:p>
        </w:tc>
        <w:tc>
          <w:tcPr>
            <w:tcW w:w="2160" w:type="dxa"/>
          </w:tcPr>
          <w:p w14:paraId="41DCE18B"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MoNbTaW+YSZ</w:t>
            </w:r>
          </w:p>
        </w:tc>
        <w:tc>
          <w:tcPr>
            <w:tcW w:w="2160" w:type="dxa"/>
          </w:tcPr>
          <w:p w14:paraId="51C57500"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Ni+YSZ (Current)</w:t>
            </w:r>
          </w:p>
        </w:tc>
      </w:tr>
      <w:tr w:rsidR="00866AF2" w14:paraId="60733791"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B9AD4C" w14:textId="77777777" w:rsidR="00866AF2" w:rsidRDefault="00000000">
            <w:r>
              <w:rPr>
                <w:sz w:val="20"/>
              </w:rPr>
              <w:t>Safety Factor @ 1400 K</w:t>
            </w:r>
          </w:p>
        </w:tc>
        <w:tc>
          <w:tcPr>
            <w:tcW w:w="2160" w:type="dxa"/>
          </w:tcPr>
          <w:p w14:paraId="5439EE70"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1.71 (3D validated)</w:t>
            </w:r>
          </w:p>
        </w:tc>
        <w:tc>
          <w:tcPr>
            <w:tcW w:w="2160" w:type="dxa"/>
          </w:tcPr>
          <w:p w14:paraId="4D7D1082"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~1.3 (estimated)</w:t>
            </w:r>
          </w:p>
        </w:tc>
        <w:tc>
          <w:tcPr>
            <w:tcW w:w="2160" w:type="dxa"/>
          </w:tcPr>
          <w:p w14:paraId="51EF328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~1.3</w:t>
            </w:r>
          </w:p>
        </w:tc>
      </w:tr>
      <w:tr w:rsidR="00866AF2" w14:paraId="52BA7294"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27A88B" w14:textId="77777777" w:rsidR="00866AF2" w:rsidRDefault="00000000">
            <w:r>
              <w:rPr>
                <w:sz w:val="20"/>
              </w:rPr>
              <w:t>Density (g/cm3)</w:t>
            </w:r>
          </w:p>
        </w:tc>
        <w:tc>
          <w:tcPr>
            <w:tcW w:w="2160" w:type="dxa"/>
          </w:tcPr>
          <w:p w14:paraId="6F79A16D"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~9.8</w:t>
            </w:r>
          </w:p>
        </w:tc>
        <w:tc>
          <w:tcPr>
            <w:tcW w:w="2160" w:type="dxa"/>
          </w:tcPr>
          <w:p w14:paraId="2832D6F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13.8</w:t>
            </w:r>
          </w:p>
        </w:tc>
        <w:tc>
          <w:tcPr>
            <w:tcW w:w="2160" w:type="dxa"/>
          </w:tcPr>
          <w:p w14:paraId="416ECCFA"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8.7</w:t>
            </w:r>
          </w:p>
        </w:tc>
      </w:tr>
      <w:tr w:rsidR="00866AF2" w14:paraId="772B4F11"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CA76D9" w14:textId="77777777" w:rsidR="00866AF2" w:rsidRDefault="00000000">
            <w:r>
              <w:rPr>
                <w:sz w:val="20"/>
              </w:rPr>
              <w:t>Interface Shear Stress</w:t>
            </w:r>
          </w:p>
        </w:tc>
        <w:tc>
          <w:tcPr>
            <w:tcW w:w="2160" w:type="dxa"/>
          </w:tcPr>
          <w:p w14:paraId="533E4FE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15.95 MPa</w:t>
            </w:r>
          </w:p>
        </w:tc>
        <w:tc>
          <w:tcPr>
            <w:tcW w:w="2160" w:type="dxa"/>
          </w:tcPr>
          <w:p w14:paraId="188D22EC"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Not FGM</w:t>
            </w:r>
          </w:p>
        </w:tc>
        <w:tc>
          <w:tcPr>
            <w:tcW w:w="2160" w:type="dxa"/>
          </w:tcPr>
          <w:p w14:paraId="798179D1"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Spallation-prone</w:t>
            </w:r>
          </w:p>
        </w:tc>
      </w:tr>
      <w:tr w:rsidR="00866AF2" w14:paraId="365BE649"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854107" w14:textId="77777777" w:rsidR="00866AF2" w:rsidRDefault="00000000">
            <w:r>
              <w:rPr>
                <w:sz w:val="20"/>
              </w:rPr>
              <w:t>Fatigue Life (cycles)</w:t>
            </w:r>
          </w:p>
        </w:tc>
        <w:tc>
          <w:tcPr>
            <w:tcW w:w="2160" w:type="dxa"/>
          </w:tcPr>
          <w:p w14:paraId="3A1C7B24"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&gt;10,000</w:t>
            </w:r>
          </w:p>
        </w:tc>
        <w:tc>
          <w:tcPr>
            <w:tcW w:w="2160" w:type="dxa"/>
          </w:tcPr>
          <w:p w14:paraId="71ACE67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Not measured</w:t>
            </w:r>
          </w:p>
        </w:tc>
        <w:tc>
          <w:tcPr>
            <w:tcW w:w="2160" w:type="dxa"/>
          </w:tcPr>
          <w:p w14:paraId="11138ED9"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3,000-5,000</w:t>
            </w:r>
          </w:p>
        </w:tc>
      </w:tr>
      <w:tr w:rsidR="00866AF2" w14:paraId="52A80418"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9E54FC" w14:textId="77777777" w:rsidR="00866AF2" w:rsidRDefault="00000000">
            <w:r>
              <w:rPr>
                <w:sz w:val="20"/>
              </w:rPr>
              <w:t>Solidus Temperature (K)</w:t>
            </w:r>
          </w:p>
        </w:tc>
        <w:tc>
          <w:tcPr>
            <w:tcW w:w="2160" w:type="dxa"/>
          </w:tcPr>
          <w:p w14:paraId="1B2F38E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~2727</w:t>
            </w:r>
          </w:p>
        </w:tc>
        <w:tc>
          <w:tcPr>
            <w:tcW w:w="2160" w:type="dxa"/>
          </w:tcPr>
          <w:p w14:paraId="7DA73C1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2807</w:t>
            </w:r>
          </w:p>
        </w:tc>
        <w:tc>
          <w:tcPr>
            <w:tcW w:w="2160" w:type="dxa"/>
          </w:tcPr>
          <w:p w14:paraId="13B99C25"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1623</w:t>
            </w:r>
          </w:p>
        </w:tc>
      </w:tr>
      <w:tr w:rsidR="00866AF2" w14:paraId="1046D521"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B1DF98" w14:textId="77777777" w:rsidR="00866AF2" w:rsidRDefault="00000000">
            <w:r>
              <w:rPr>
                <w:sz w:val="20"/>
              </w:rPr>
              <w:t>CMAS Resistance</w:t>
            </w:r>
          </w:p>
        </w:tc>
        <w:tc>
          <w:tcPr>
            <w:tcW w:w="2160" w:type="dxa"/>
          </w:tcPr>
          <w:p w14:paraId="4CDB79A6"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LZO blocks CMAS</w:t>
            </w:r>
          </w:p>
        </w:tc>
        <w:tc>
          <w:tcPr>
            <w:tcW w:w="2160" w:type="dxa"/>
          </w:tcPr>
          <w:p w14:paraId="1AD6AE52"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2160" w:type="dxa"/>
          </w:tcPr>
          <w:p w14:paraId="38EA5189"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YSZ fails &gt;1240 C</w:t>
            </w:r>
          </w:p>
        </w:tc>
      </w:tr>
      <w:tr w:rsidR="00866AF2" w14:paraId="136C884A"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6B1D19" w14:textId="77777777" w:rsidR="00866AF2" w:rsidRDefault="00000000">
            <w:r>
              <w:rPr>
                <w:sz w:val="20"/>
              </w:rPr>
              <w:t>Sigma Phase Risk</w:t>
            </w:r>
          </w:p>
        </w:tc>
        <w:tc>
          <w:tcPr>
            <w:tcW w:w="2160" w:type="dxa"/>
          </w:tcPr>
          <w:p w14:paraId="1047EDD9"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&lt;5%</w:t>
            </w:r>
          </w:p>
        </w:tc>
        <w:tc>
          <w:tcPr>
            <w:tcW w:w="2160" w:type="dxa"/>
          </w:tcPr>
          <w:p w14:paraId="327C664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Not assessed</w:t>
            </w:r>
          </w:p>
        </w:tc>
        <w:tc>
          <w:tcPr>
            <w:tcW w:w="2160" w:type="dxa"/>
          </w:tcPr>
          <w:p w14:paraId="696CF128"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N/A</w:t>
            </w:r>
          </w:p>
        </w:tc>
      </w:tr>
      <w:tr w:rsidR="00866AF2" w14:paraId="42DF5C5B"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B542EB" w14:textId="77777777" w:rsidR="00866AF2" w:rsidRDefault="00000000">
            <w:r>
              <w:rPr>
                <w:sz w:val="20"/>
              </w:rPr>
              <w:t>Cost ($/kg raw)</w:t>
            </w:r>
          </w:p>
        </w:tc>
        <w:tc>
          <w:tcPr>
            <w:tcW w:w="2160" w:type="dxa"/>
          </w:tcPr>
          <w:p w14:paraId="55D50883"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~$170</w:t>
            </w:r>
          </w:p>
        </w:tc>
        <w:tc>
          <w:tcPr>
            <w:tcW w:w="2160" w:type="dxa"/>
          </w:tcPr>
          <w:p w14:paraId="68B46CF1"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~$180</w:t>
            </w:r>
          </w:p>
        </w:tc>
        <w:tc>
          <w:tcPr>
            <w:tcW w:w="2160" w:type="dxa"/>
          </w:tcPr>
          <w:p w14:paraId="6CC45435"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~$60</w:t>
            </w:r>
          </w:p>
        </w:tc>
      </w:tr>
      <w:tr w:rsidR="00866AF2" w14:paraId="2D34F089"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E6E681" w14:textId="77777777" w:rsidR="00866AF2" w:rsidRDefault="00000000">
            <w:r>
              <w:rPr>
                <w:sz w:val="20"/>
              </w:rPr>
              <w:t>Embodied Energy (MJ/kg)</w:t>
            </w:r>
          </w:p>
        </w:tc>
        <w:tc>
          <w:tcPr>
            <w:tcW w:w="2160" w:type="dxa"/>
          </w:tcPr>
          <w:p w14:paraId="6E25955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1680</w:t>
            </w:r>
          </w:p>
        </w:tc>
        <w:tc>
          <w:tcPr>
            <w:tcW w:w="2160" w:type="dxa"/>
          </w:tcPr>
          <w:p w14:paraId="32DFFAF6"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1200</w:t>
            </w:r>
          </w:p>
        </w:tc>
        <w:tc>
          <w:tcPr>
            <w:tcW w:w="2160" w:type="dxa"/>
          </w:tcPr>
          <w:p w14:paraId="55AB71A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160</w:t>
            </w:r>
          </w:p>
        </w:tc>
      </w:tr>
    </w:tbl>
    <w:p w14:paraId="0CCCF1F8" w14:textId="77777777" w:rsidR="00866AF2" w:rsidRDefault="00000000">
      <w:r>
        <w:rPr>
          <w:b/>
        </w:rPr>
        <w:t xml:space="preserve">Key Insight: </w:t>
      </w:r>
      <w:r>
        <w:t>Crystal Paradigm FGM exceeds current industry standards on safety factor, fatigue life, CMAS resistance, and supply chain resilience. Higher cost and weight vs Ni+YSZ are justified by superior performance at extreme temperatures and significantly extended operational lifespan.</w:t>
      </w:r>
    </w:p>
    <w:p w14:paraId="2D6B7C1B" w14:textId="77777777" w:rsidR="00866AF2" w:rsidRDefault="00000000">
      <w:pPr>
        <w:pStyle w:val="Heading2"/>
      </w:pPr>
      <w:r>
        <w:t>A.8. Uncertainty Quantification</w:t>
      </w:r>
    </w:p>
    <w:p w14:paraId="0F84D674" w14:textId="77777777" w:rsidR="00866AF2" w:rsidRDefault="00000000">
      <w:pPr>
        <w:pStyle w:val="Heading3"/>
      </w:pPr>
      <w:r>
        <w:t>Model Prediction Intervals (95% Coverage):</w:t>
      </w:r>
    </w:p>
    <w:p w14:paraId="7623CDEB" w14:textId="77777777" w:rsidR="00866AF2" w:rsidRDefault="00000000">
      <w:pPr>
        <w:pStyle w:val="ListBullet"/>
      </w:pPr>
      <w:r>
        <w:t>CTE prediction: +/- 0.8 um/m K</w:t>
      </w:r>
    </w:p>
    <w:p w14:paraId="569FAFE6" w14:textId="77777777" w:rsidR="00866AF2" w:rsidRDefault="00000000">
      <w:pPr>
        <w:pStyle w:val="ListBullet"/>
      </w:pPr>
      <w:r>
        <w:t>VEC prediction: +/- 0.15</w:t>
      </w:r>
    </w:p>
    <w:p w14:paraId="472BEA63" w14:textId="77777777" w:rsidR="00866AF2" w:rsidRDefault="00000000">
      <w:pPr>
        <w:pStyle w:val="ListBullet"/>
      </w:pPr>
      <w:r>
        <w:t>Bulk modulus: +/- 12 GPa</w:t>
      </w:r>
    </w:p>
    <w:p w14:paraId="7ACBBE04" w14:textId="77777777" w:rsidR="00866AF2" w:rsidRDefault="00000000">
      <w:pPr>
        <w:pStyle w:val="ListBullet"/>
      </w:pPr>
      <w:r>
        <w:t>Yield strength @ 1400 K: +/- 45 MPa</w:t>
      </w:r>
    </w:p>
    <w:p w14:paraId="7545886D" w14:textId="77777777" w:rsidR="00866AF2" w:rsidRDefault="00000000">
      <w:pPr>
        <w:pStyle w:val="Heading3"/>
      </w:pPr>
      <w:r>
        <w:t>Safety Factor Confidence:</w:t>
      </w:r>
    </w:p>
    <w:p w14:paraId="078FA9DF" w14:textId="77777777" w:rsidR="00866AF2" w:rsidRDefault="00000000">
      <w:pPr>
        <w:pStyle w:val="ListBullet"/>
      </w:pPr>
      <w:r>
        <w:t>1D FEA prediction: 1.5981 +/- 0.12</w:t>
      </w:r>
    </w:p>
    <w:p w14:paraId="2D74959F" w14:textId="77777777" w:rsidR="00866AF2" w:rsidRDefault="00000000">
      <w:pPr>
        <w:pStyle w:val="ListBullet"/>
      </w:pPr>
      <w:r>
        <w:t>3D FEA validation: 1.71 +/- 0.08</w:t>
      </w:r>
    </w:p>
    <w:p w14:paraId="6C9CC4C8" w14:textId="77777777" w:rsidR="00866AF2" w:rsidRDefault="00000000">
      <w:pPr>
        <w:pStyle w:val="ListBullet"/>
        <w:spacing w:after="0"/>
      </w:pPr>
      <w:r>
        <w:t>Projected experimental range: 1.55-1.85</w:t>
      </w:r>
    </w:p>
    <w:p w14:paraId="1A584630" w14:textId="77777777" w:rsidR="00866AF2" w:rsidRDefault="00000000">
      <w:pPr>
        <w:pStyle w:val="Heading1"/>
        <w:pageBreakBefore w:val="0"/>
      </w:pPr>
      <w:r>
        <w:t>11. Computational Platform &amp; Resources</w:t>
      </w:r>
    </w:p>
    <w:p w14:paraId="478969EB" w14:textId="77777777" w:rsidR="00866AF2" w:rsidRDefault="00000000">
      <w:r>
        <w:t>Crystal Paradigm's computational platform encompasses a complete ML pipeline, constrained optimizer, 1D/3D FEA interfaces, CALPHAD phase validation, Molecular Dynamics oxidation analysis, and manufacturing recipe generation system.</w:t>
      </w:r>
    </w:p>
    <w:p w14:paraId="7DB124F9" w14:textId="77777777" w:rsidR="00866AF2" w:rsidRDefault="00000000">
      <w:r>
        <w:t>The platform is maintained in a private repository. A recorded demonstration walkthrough showing end-to-end pipeline execution (data ingestion through to manufacturing recipe export) is available upon request. Full codebase access will be provided under mutual NDA during the POC scoping phase.</w:t>
      </w:r>
    </w:p>
    <w:p w14:paraId="0FE4650A" w14:textId="77777777" w:rsidR="00866AF2" w:rsidRDefault="00000000">
      <w:r>
        <w:rPr>
          <w:b/>
        </w:rPr>
        <w:t xml:space="preserve">Technology Readiness: </w:t>
      </w:r>
      <w:r>
        <w:t>TRL 3+ (computational validation complete, manufacturing recipe generated, pending physical coupon fabrication). Patent applications filed covering compositional windows and gradient architecture, with additional filings covering our top candidate scheduled within 30 days.</w:t>
      </w:r>
    </w:p>
    <w:p w14:paraId="4804D86B" w14:textId="77777777" w:rsidR="00866AF2" w:rsidRDefault="00000000">
      <w:r>
        <w:t>Key Technologies Deployed: 3D FEniCS Finite Element Analysis, CALPHAD TCHEA4 thermodynamic database, MACE and CHGNet Machine Learning Force Field Molecular Dynamics, Pareto Multi-Objective Optimization, Random Forest surrogate modeling, Constrained Differential Evolution, LENS Additive Manufacturing recipe generation.</w:t>
        <w:br/>
        <w:br/>
        <w:t>SCIDIP Collaboration Ask:</w:t>
        <w:br/>
        <w:t>1. Access to IIT Delhi's Central Research Facility — specifically the Simultaneous Thermal Analyzer (STA, up to 1500°C), High-Temperature Furnaces (up to 1600°C), X-Ray Diffraction (XRD), and SEM/EDS microscopy.</w:t>
        <w:br/>
        <w:t>2. Technology incubation and collaborative support from IIT Delhi faculty in experimental materials characterization methodologies and Sona Comstar's engineering teams for downstream application mapping in precision forging, EV thermal management, and railway component materials.</w:t>
        <w:br/>
        <w:t>3. SCIDIP grant support for fabricating initial FGM witness coupons via LENS additive manufacturing and executing systematic TRL 4 thermal cycling validation.</w:t>
      </w:r>
    </w:p>
    <w:p w14:paraId="7CEF6C04" w14:textId="77777777" w:rsidR="00866AF2" w:rsidRDefault="00000000">
      <w:pPr>
        <w:pStyle w:val="Heading1"/>
        <w:pageBreakBefore w:val="0"/>
      </w:pPr>
      <w:r>
        <w:t>12. Research Leadership &amp; Contact Information</w:t>
      </w:r>
    </w:p>
    <w:p/>
    <w:p w14:paraId="080FCBEB" w14:textId="77777777" w:rsidR="00866AF2" w:rsidRDefault="00000000">
      <w:pPr>
        <w:spacing w:before="240" w:after="240"/>
      </w:pPr>
      <w:r>
        <w:rPr>
          <w:b/>
          <w:sz w:val="26"/>
        </w:rPr>
        <w:t>C</w:t>
      </w:r>
      <w:r w:rsidR="004F21DA">
        <w:rPr>
          <w:b/>
          <w:sz w:val="26"/>
        </w:rPr>
        <w:t>RYSTALPARADIGM PRIVATE LIMITED</w:t>
      </w:r>
    </w:p>
    <w:p w14:paraId="610EB097" w14:textId="77777777" w:rsidR="00866AF2" w:rsidRDefault="00000000">
      <w:r w:rsidRPr="004F21DA">
        <w:rPr>
          <w:b/>
          <w:bCs/>
        </w:rPr>
        <w:t>Location:</w:t>
      </w:r>
      <w:r>
        <w:t xml:space="preserve"> Hyderabad, India</w:t>
      </w:r>
    </w:p>
    <w:p w14:paraId="0B996FDE" w14:textId="77777777" w:rsidR="00866AF2" w:rsidRDefault="00000000">
      <w:r w:rsidRPr="004F21DA">
        <w:rPr>
          <w:b/>
          <w:bCs/>
        </w:rPr>
        <w:t>Website:</w:t>
      </w:r>
      <w:r>
        <w:t xml:space="preserve"> crystalparadigm.in</w:t>
      </w:r>
    </w:p>
    <w:p w14:paraId="1865576A" w14:textId="77777777" w:rsidR="00866AF2" w:rsidRDefault="00000000">
      <w:r w:rsidRPr="004F21DA">
        <w:rPr>
          <w:b/>
          <w:bCs/>
        </w:rPr>
        <w:t>Email:</w:t>
      </w:r>
      <w:r>
        <w:t xml:space="preserve"> khub.crystalparadigm@gmail.com</w:t>
      </w:r>
    </w:p>
    <w:p>
      <w:pPr>
        <w:keepNext/>
        <w:spacing w:after="120" w:before="360"/>
      </w:pPr>
      <w:r>
        <w:rPr>
          <w:b/>
          <w:color w:val="003366"/>
          <w:sz w:val="24"/>
        </w:rPr>
        <w:t>AI/ML Lead: Dr. Shilpa Choudhary</w:t>
      </w:r>
    </w:p>
    <w:p>
      <w:pPr>
        <w:keepLines/>
        <w:spacing w:after="360"/>
      </w:pPr>
      <w:r>
        <w:t xml:space="preserve">Dr. Choudhary, recognized among the </w:t>
      </w:r>
      <w:r>
        <w:rPr>
          <w:b/>
        </w:rPr>
        <w:t>Top 2% Scientists Worldwide by Stanford University (2024)</w:t>
      </w:r>
      <w:r>
        <w:t xml:space="preserve">, brings over </w:t>
      </w:r>
      <w:r>
        <w:rPr>
          <w:b/>
        </w:rPr>
        <w:t>16 years of research expertise in Artificial Intelligence, Deep Learning, and AI-driven scientific applications</w:t>
      </w:r>
      <w:r>
        <w:t xml:space="preserve">. With </w:t>
      </w:r>
      <w:r>
        <w:rPr>
          <w:b/>
        </w:rPr>
        <w:t>postdoctoral research experience at the Singapore Institute of Technology and the National Kaohsiung University of Science and Technology (Taiwan)</w:t>
      </w:r>
      <w:r>
        <w:t xml:space="preserve">, she has authored over </w:t>
      </w:r>
      <w:r>
        <w:rPr>
          <w:b/>
        </w:rPr>
        <w:t>100 research papers</w:t>
      </w:r>
      <w:r>
        <w:t xml:space="preserve"> (1763 citations, H-index 22), </w:t>
      </w:r>
      <w:r>
        <w:rPr>
          <w:b/>
        </w:rPr>
        <w:t>12 academic books</w:t>
      </w:r>
      <w:r>
        <w:t xml:space="preserve">, and holds </w:t>
      </w:r>
      <w:r>
        <w:rPr>
          <w:b/>
        </w:rPr>
        <w:t>multiple patents</w:t>
      </w:r>
      <w:r>
        <w:t xml:space="preserve"> in emerging technology domains. At Crystal Paradigm, she leads AI innovation, ML Architecture, Constrained Optimization, and Surrogate Model Design.</w:t>
      </w:r>
    </w:p>
    <w:p>
      <w:pPr>
        <w:keepNext/>
        <w:spacing w:after="120" w:before="360"/>
      </w:pPr>
      <w:r>
        <w:rPr>
          <w:b/>
          <w:color w:val="003366"/>
          <w:sz w:val="24"/>
        </w:rPr>
        <w:t>Materials Science &amp; Experimental Validation Lead: Dr. Kasarapu Venkataramana</w:t>
      </w:r>
    </w:p>
    <w:p>
      <w:pPr>
        <w:keepLines/>
        <w:spacing w:after="360"/>
      </w:pPr>
      <w:r>
        <w:t>Dr. Venkataramana is currently a Research Associate at CSIR-IICT working on a DRDO sponsored project. He is an Associate Fellow of the Telangana Academy of Sciences (2024) and brings 12 years of research and 5 years of academic teaching experience to the team. He has authored 38 research publications (610+ citations, h-index 14) and 2 book chapters, while serving as a recognized reviewer for prestigious scientific journals across Elsevier, Springer, and Taylor &amp; Francis. In his current role at CSIR-IICT, he is leading DRDO-sponsored pyrotechnic nanomaterial fabrication projects. He provides critical domain oversight on computational chemistry, thermodynamics, and physical experimental validation. He specializes in High Entropy Oxides and advanced materials characterization (XRD, SEM, EDS).</w:t>
      </w:r>
    </w:p>
    <w:p>
      <w:pPr>
        <w:keepNext/>
        <w:spacing w:after="120" w:before="360"/>
      </w:pPr>
      <w:r>
        <w:rPr>
          <w:b/>
          <w:color w:val="003366"/>
          <w:sz w:val="24"/>
        </w:rPr>
        <w:t>TEAM MEMBER 1: MOHAMMED AHMED RAZA</w:t>
      </w:r>
    </w:p>
    <w:p>
      <w:pPr>
        <w:keepLines/>
        <w:spacing w:after="360"/>
      </w:pPr>
      <w:r>
        <w:t>Mohammed Ahmed Raza is a Computer Science and Engineering student at Neil Gogte Institute of Technology (NGIT) and a Certified AI/ML Professional from iHub-Data, IIIT Hyderabad. He previously served as a Winter Research Intern at IIIT Hyderabad, where he engineered advanced computer vision systems for UAV spatial awareness and obstacle detection. Currently, he advances materials science and deep learning innovations as an AI Research Intern at Crystal Paradigm, developing inverse design frameworks for HE-MCGA, computationally engineering next-generation superalloys for extreme-environment applications. Most recently, he co-authored research introducing a breakthrough Attention Graph Siamese Transformer (DPT-GNN) that drastically optimizes lithium-ion battery capacity predictions through transition-aware learning.</w:t>
      </w:r>
    </w:p>
    <w:p>
      <w:pPr>
        <w:keepNext/>
        <w:spacing w:after="120" w:before="360"/>
      </w:pPr>
      <w:r>
        <w:rPr>
          <w:b/>
          <w:color w:val="003366"/>
          <w:sz w:val="24"/>
        </w:rPr>
        <w:t>TEAM MEMBER 2: K. INDRASENA REDDY</w:t>
      </w:r>
    </w:p>
    <w:p>
      <w:pPr>
        <w:keepLines/>
        <w:spacing w:after="360"/>
      </w:pPr>
      <w:r>
        <w:t xml:space="preserve">K. Indrasena Reddy is a Computer Science Engineering student at Neil Gogte Institute of Technology (NGIT). He previously served as an </w:t>
      </w:r>
      <w:r>
        <w:rPr>
          <w:b/>
        </w:rPr>
        <w:t>AI Developer Intern at Viswam.AI</w:t>
      </w:r>
      <w:r>
        <w:t xml:space="preserve">, where he built </w:t>
      </w:r>
      <w:r>
        <w:rPr>
          <w:b/>
        </w:rPr>
        <w:t>natural language processing applications</w:t>
      </w:r>
      <w:r>
        <w:t xml:space="preserve"> and contributed to experimental language model research. Currently, he advances materials informatics and graph neural network modeling for large-scale property prediction as an AI Research Intern at Crystal Paradigm, where he </w:t>
      </w:r>
      <w:r>
        <w:rPr>
          <w:b/>
        </w:rPr>
        <w:t>architected the materials informatics and validation pipelines for the HE-MCGA</w:t>
      </w:r>
      <w:r>
        <w:t xml:space="preserve"> aerospace project.</w:t>
      </w:r>
    </w:p>
    <w:p>
      <w:pPr>
        <w:keepNext/>
        <w:spacing w:before="360" w:after="120"/>
      </w:pPr>
      <w:r>
        <w:rPr>
          <w:b/>
          <w:color w:val="003366"/>
          <w:sz w:val="24"/>
        </w:rPr>
        <w:t>EXTENDED RESEARCH TEAM</w:t>
      </w:r>
    </w:p>
    <w:p>
      <w:pPr>
        <w:keepLines/>
        <w:spacing w:after="480"/>
      </w:pPr>
      <w:r>
        <w:t>The core leadership is supported by an extended team of AI Research Interns advancing research at the intersection of Artificial Intelligence and Materials Science.</w:t>
      </w:r>
    </w:p>
    <w:p w14:paraId="5B9CAD05" w14:textId="77777777" w:rsidR="00866AF2" w:rsidRDefault="00000000">
      <w:r>
        <w:t>For inquiries regarding collaboration opportunities, please reach out directly. We welcome the opportunity to present our platform capabilities and discuss partnership pathways.</w:t>
      </w:r>
    </w:p>
    <w:sectPr w:rsidR="00866A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9335820">
    <w:abstractNumId w:val="8"/>
  </w:num>
  <w:num w:numId="2" w16cid:durableId="264307512">
    <w:abstractNumId w:val="6"/>
  </w:num>
  <w:num w:numId="3" w16cid:durableId="1818574772">
    <w:abstractNumId w:val="5"/>
  </w:num>
  <w:num w:numId="4" w16cid:durableId="1999112592">
    <w:abstractNumId w:val="4"/>
  </w:num>
  <w:num w:numId="5" w16cid:durableId="140587830">
    <w:abstractNumId w:val="7"/>
  </w:num>
  <w:num w:numId="6" w16cid:durableId="54356744">
    <w:abstractNumId w:val="3"/>
  </w:num>
  <w:num w:numId="7" w16cid:durableId="1378503953">
    <w:abstractNumId w:val="2"/>
  </w:num>
  <w:num w:numId="8" w16cid:durableId="626664290">
    <w:abstractNumId w:val="1"/>
  </w:num>
  <w:num w:numId="9" w16cid:durableId="1135952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960"/>
    <w:rsid w:val="00072FDC"/>
    <w:rsid w:val="0015074B"/>
    <w:rsid w:val="001F5473"/>
    <w:rsid w:val="0029639D"/>
    <w:rsid w:val="002A25FB"/>
    <w:rsid w:val="00326F90"/>
    <w:rsid w:val="004269E6"/>
    <w:rsid w:val="00474E88"/>
    <w:rsid w:val="004A1069"/>
    <w:rsid w:val="004F21DA"/>
    <w:rsid w:val="004F476A"/>
    <w:rsid w:val="0056670E"/>
    <w:rsid w:val="00866AF2"/>
    <w:rsid w:val="009A7939"/>
    <w:rsid w:val="00A87253"/>
    <w:rsid w:val="00AA1D8D"/>
    <w:rsid w:val="00B47730"/>
    <w:rsid w:val="00CB0664"/>
    <w:rsid w:val="00CD006C"/>
    <w:rsid w:val="00D3189D"/>
    <w:rsid w:val="00E73BEB"/>
    <w:rsid w:val="00E76B1D"/>
    <w:rsid w:val="00F961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E0EED"/>
  <w14:defaultImageDpi w14:val="300"/>
  <w15:docId w15:val="{6D55BE71-CED5-4462-96F7-052B731D9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2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D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1D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1D5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B1D5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Pages>
  <Words>4503</Words>
  <Characters>25673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AHMED RAZA</cp:lastModifiedBy>
  <cp:revision>8</cp:revision>
  <dcterms:created xsi:type="dcterms:W3CDTF">2013-12-23T23:15:00Z</dcterms:created>
  <dcterms:modified xsi:type="dcterms:W3CDTF">2026-07-29T17:11:00Z</dcterms:modified>
  <cp:category/>
</cp:coreProperties>
</file>