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 Examination Rules</w:t>
      </w:r>
    </w:p>
    <w:p>
      <w:pPr>
        <w:pStyle w:val="Heading1"/>
      </w:pPr>
      <w:r>
        <w:t>Attendance Requirement</w:t>
      </w:r>
    </w:p>
    <w:p>
      <w:r>
        <w:t>A student must maintain at least seventy-five percent attendance in each course to be eligible to sit the final examination for that course.</w:t>
      </w:r>
    </w:p>
    <w:p>
      <w:pPr>
        <w:pStyle w:val="Heading1"/>
      </w:pPr>
      <w:r>
        <w:t>Grading Scale</w:t>
      </w:r>
    </w:p>
    <w:p>
      <w:r>
        <w:t>Final grades are awarded on a relative grading scale approved by the Academic Council, ranging from A to F, with corresponding grade points from 4.0 to 0.0.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