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6CAAD">
      <w:pPr>
        <w:spacing w:before="500" w:after="200"/>
        <w:jc w:val="center"/>
        <w:rPr>
          <w:sz w:val="24"/>
          <w:szCs w:val="28"/>
        </w:rPr>
      </w:pPr>
      <w:r>
        <w:rPr>
          <w:sz w:val="24"/>
          <w:szCs w:val="28"/>
        </w:rPr>
        <w:drawing>
          <wp:inline distT="0" distB="0" distL="0" distR="0">
            <wp:extent cx="4424045" cy="3709670"/>
            <wp:effectExtent l="0" t="0" r="825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4424045" cy="3709670"/>
                    </a:xfrm>
                    <a:prstGeom prst="rect">
                      <a:avLst/>
                    </a:prstGeom>
                  </pic:spPr>
                </pic:pic>
              </a:graphicData>
            </a:graphic>
          </wp:inline>
        </w:drawing>
      </w:r>
    </w:p>
    <w:p w14:paraId="49696FE6">
      <w:pPr>
        <w:spacing w:after="100"/>
        <w:jc w:val="center"/>
        <w:rPr>
          <w:sz w:val="24"/>
          <w:szCs w:val="28"/>
        </w:rPr>
      </w:pPr>
      <w:r>
        <w:rPr>
          <w:rFonts w:ascii="Calibri" w:hAnsi="Calibri" w:eastAsia="Calibri" w:cs="Calibri"/>
          <w:b/>
          <w:bCs/>
          <w:color w:val="1A1A1A"/>
          <w:sz w:val="52"/>
          <w:szCs w:val="52"/>
        </w:rPr>
        <w:t>Web Application Security</w:t>
      </w:r>
    </w:p>
    <w:p w14:paraId="0EB779B1">
      <w:pPr>
        <w:spacing w:after="500"/>
        <w:jc w:val="center"/>
        <w:rPr>
          <w:sz w:val="24"/>
          <w:szCs w:val="28"/>
        </w:rPr>
      </w:pPr>
      <w:r>
        <w:rPr>
          <w:rFonts w:ascii="Calibri" w:hAnsi="Calibri" w:eastAsia="Calibri" w:cs="Calibri"/>
          <w:i/>
          <w:iCs/>
          <w:color w:val="1E3A66"/>
          <w:sz w:val="28"/>
          <w:szCs w:val="28"/>
        </w:rPr>
        <w:t xml:space="preserve">OWASP Top 10 Foundations </w:t>
      </w:r>
      <w:r>
        <w:rPr>
          <w:rFonts w:hint="default" w:ascii="Calibri" w:hAnsi="Calibri" w:eastAsia="Calibri" w:cs="Calibri"/>
          <w:i/>
          <w:iCs/>
          <w:color w:val="1E3A66"/>
          <w:sz w:val="28"/>
          <w:szCs w:val="28"/>
          <w:lang w:val="en-US"/>
        </w:rPr>
        <w:t>-</w:t>
      </w:r>
      <w:r>
        <w:rPr>
          <w:rFonts w:ascii="Calibri" w:hAnsi="Calibri" w:eastAsia="Calibri" w:cs="Calibri"/>
          <w:i/>
          <w:iCs/>
          <w:color w:val="1E3A66"/>
          <w:sz w:val="28"/>
          <w:szCs w:val="28"/>
        </w:rPr>
        <w:t xml:space="preserve"> Beginner Track · PortSwigger Web Security Academy Labs</w:t>
      </w:r>
    </w:p>
    <w:tbl>
      <w:tblPr>
        <w:tblStyle w:val="9"/>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600"/>
      </w:tblGrid>
      <w:tr w14:paraId="6921E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E9F0FC"/>
            <w:tcMar>
              <w:top w:w="110" w:type="dxa"/>
              <w:left w:w="160" w:type="dxa"/>
              <w:bottom w:w="110" w:type="dxa"/>
              <w:right w:w="120" w:type="dxa"/>
            </w:tcMar>
          </w:tcPr>
          <w:p w14:paraId="70B5BAFF">
            <w:pPr>
              <w:rPr>
                <w:sz w:val="24"/>
                <w:szCs w:val="28"/>
              </w:rPr>
            </w:pPr>
            <w:r>
              <w:rPr>
                <w:rFonts w:ascii="Calibri" w:hAnsi="Calibri" w:eastAsia="Calibri" w:cs="Calibri"/>
                <w:b/>
                <w:bCs/>
                <w:color w:val="1E3A66"/>
                <w:sz w:val="22"/>
                <w:szCs w:val="22"/>
              </w:rPr>
              <w:t>Name</w:t>
            </w:r>
          </w:p>
        </w:tc>
        <w:tc>
          <w:tcPr>
            <w:tcW w:w="5600" w:type="dxa"/>
            <w:shd w:val="clear" w:color="auto" w:fill="E9F0FC"/>
            <w:tcMar>
              <w:top w:w="110" w:type="dxa"/>
              <w:left w:w="160" w:type="dxa"/>
              <w:bottom w:w="110" w:type="dxa"/>
              <w:right w:w="120" w:type="dxa"/>
            </w:tcMar>
          </w:tcPr>
          <w:p w14:paraId="7876565E">
            <w:pPr>
              <w:rPr>
                <w:sz w:val="24"/>
                <w:szCs w:val="28"/>
              </w:rPr>
            </w:pPr>
            <w:r>
              <w:rPr>
                <w:rFonts w:ascii="Calibri" w:hAnsi="Calibri" w:eastAsia="Calibri" w:cs="Calibri"/>
                <w:color w:val="1A1A1A"/>
                <w:sz w:val="22"/>
                <w:szCs w:val="22"/>
              </w:rPr>
              <w:t>Muhammad Raza</w:t>
            </w:r>
          </w:p>
        </w:tc>
      </w:tr>
      <w:tr w14:paraId="6A169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FFFFFF"/>
            <w:tcMar>
              <w:top w:w="110" w:type="dxa"/>
              <w:left w:w="160" w:type="dxa"/>
              <w:bottom w:w="110" w:type="dxa"/>
              <w:right w:w="120" w:type="dxa"/>
            </w:tcMar>
          </w:tcPr>
          <w:p w14:paraId="5C1B8C07">
            <w:pPr>
              <w:rPr>
                <w:sz w:val="24"/>
                <w:szCs w:val="28"/>
              </w:rPr>
            </w:pPr>
            <w:r>
              <w:rPr>
                <w:rFonts w:ascii="Calibri" w:hAnsi="Calibri" w:eastAsia="Calibri" w:cs="Calibri"/>
                <w:b/>
                <w:bCs/>
                <w:color w:val="1E3A66"/>
                <w:sz w:val="22"/>
                <w:szCs w:val="22"/>
              </w:rPr>
              <w:t>Company</w:t>
            </w:r>
          </w:p>
        </w:tc>
        <w:tc>
          <w:tcPr>
            <w:tcW w:w="5600" w:type="dxa"/>
            <w:shd w:val="clear" w:color="auto" w:fill="FFFFFF"/>
            <w:tcMar>
              <w:top w:w="110" w:type="dxa"/>
              <w:left w:w="160" w:type="dxa"/>
              <w:bottom w:w="110" w:type="dxa"/>
              <w:right w:w="120" w:type="dxa"/>
            </w:tcMar>
          </w:tcPr>
          <w:p w14:paraId="3C53EC99">
            <w:pPr>
              <w:rPr>
                <w:sz w:val="24"/>
                <w:szCs w:val="28"/>
              </w:rPr>
            </w:pPr>
            <w:r>
              <w:rPr>
                <w:rFonts w:ascii="Calibri" w:hAnsi="Calibri" w:eastAsia="Calibri" w:cs="Calibri"/>
                <w:color w:val="1A1A1A"/>
                <w:sz w:val="22"/>
                <w:szCs w:val="22"/>
              </w:rPr>
              <w:t>AstraQuantum Tech</w:t>
            </w:r>
          </w:p>
        </w:tc>
      </w:tr>
      <w:tr w14:paraId="583E0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E9F0FC"/>
            <w:tcMar>
              <w:top w:w="110" w:type="dxa"/>
              <w:left w:w="160" w:type="dxa"/>
              <w:bottom w:w="110" w:type="dxa"/>
              <w:right w:w="120" w:type="dxa"/>
            </w:tcMar>
          </w:tcPr>
          <w:p w14:paraId="6D0AF2D1">
            <w:pPr>
              <w:rPr>
                <w:sz w:val="24"/>
                <w:szCs w:val="28"/>
              </w:rPr>
            </w:pPr>
            <w:r>
              <w:rPr>
                <w:rFonts w:ascii="Calibri" w:hAnsi="Calibri" w:eastAsia="Calibri" w:cs="Calibri"/>
                <w:b/>
                <w:bCs/>
                <w:color w:val="1E3A66"/>
                <w:sz w:val="22"/>
                <w:szCs w:val="22"/>
              </w:rPr>
              <w:t>Program</w:t>
            </w:r>
          </w:p>
        </w:tc>
        <w:tc>
          <w:tcPr>
            <w:tcW w:w="5600" w:type="dxa"/>
            <w:shd w:val="clear" w:color="auto" w:fill="E9F0FC"/>
            <w:tcMar>
              <w:top w:w="110" w:type="dxa"/>
              <w:left w:w="160" w:type="dxa"/>
              <w:bottom w:w="110" w:type="dxa"/>
              <w:right w:w="120" w:type="dxa"/>
            </w:tcMar>
          </w:tcPr>
          <w:p w14:paraId="0E341CB3">
            <w:pPr>
              <w:rPr>
                <w:sz w:val="24"/>
                <w:szCs w:val="28"/>
              </w:rPr>
            </w:pPr>
            <w:r>
              <w:rPr>
                <w:rFonts w:ascii="Calibri" w:hAnsi="Calibri" w:eastAsia="Calibri" w:cs="Calibri"/>
                <w:color w:val="1A1A1A"/>
                <w:sz w:val="22"/>
                <w:szCs w:val="22"/>
              </w:rPr>
              <w:t xml:space="preserve">Offensive Security Training </w:t>
            </w:r>
            <w:r>
              <w:rPr>
                <w:rFonts w:hint="default" w:ascii="Calibri" w:hAnsi="Calibri" w:eastAsia="Calibri" w:cs="Calibri"/>
                <w:color w:val="1A1A1A"/>
                <w:sz w:val="22"/>
                <w:szCs w:val="22"/>
                <w:lang w:val="en-US"/>
              </w:rPr>
              <w:t>-</w:t>
            </w:r>
            <w:r>
              <w:rPr>
                <w:rFonts w:ascii="Calibri" w:hAnsi="Calibri" w:eastAsia="Calibri" w:cs="Calibri"/>
                <w:color w:val="1A1A1A"/>
                <w:sz w:val="22"/>
                <w:szCs w:val="22"/>
              </w:rPr>
              <w:t xml:space="preserve"> Beginner Track</w:t>
            </w:r>
          </w:p>
        </w:tc>
      </w:tr>
      <w:tr w14:paraId="6C95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E9F0FC"/>
            <w:tcMar>
              <w:top w:w="110" w:type="dxa"/>
              <w:left w:w="160" w:type="dxa"/>
              <w:bottom w:w="110" w:type="dxa"/>
              <w:right w:w="120" w:type="dxa"/>
            </w:tcMar>
          </w:tcPr>
          <w:p w14:paraId="47CD63AA">
            <w:pPr>
              <w:rPr>
                <w:sz w:val="24"/>
                <w:szCs w:val="28"/>
              </w:rPr>
            </w:pPr>
            <w:r>
              <w:rPr>
                <w:rFonts w:ascii="Calibri" w:hAnsi="Calibri" w:eastAsia="Calibri" w:cs="Calibri"/>
                <w:b/>
                <w:bCs/>
                <w:color w:val="1E3A66"/>
                <w:sz w:val="22"/>
                <w:szCs w:val="22"/>
              </w:rPr>
              <w:t>Report</w:t>
            </w:r>
          </w:p>
        </w:tc>
        <w:tc>
          <w:tcPr>
            <w:tcW w:w="5600" w:type="dxa"/>
            <w:shd w:val="clear" w:color="auto" w:fill="E9F0FC"/>
            <w:tcMar>
              <w:top w:w="110" w:type="dxa"/>
              <w:left w:w="160" w:type="dxa"/>
              <w:bottom w:w="110" w:type="dxa"/>
              <w:right w:w="120" w:type="dxa"/>
            </w:tcMar>
          </w:tcPr>
          <w:p w14:paraId="171D9EDA">
            <w:pPr>
              <w:rPr>
                <w:sz w:val="24"/>
                <w:szCs w:val="28"/>
              </w:rPr>
            </w:pPr>
            <w:r>
              <w:rPr>
                <w:rFonts w:ascii="Calibri" w:hAnsi="Calibri" w:eastAsia="Calibri" w:cs="Calibri"/>
                <w:color w:val="1A1A1A"/>
                <w:sz w:val="22"/>
                <w:szCs w:val="22"/>
              </w:rPr>
              <w:t xml:space="preserve">Week 4 </w:t>
            </w:r>
            <w:r>
              <w:rPr>
                <w:rFonts w:hint="default" w:ascii="Calibri" w:hAnsi="Calibri" w:eastAsia="Calibri" w:cs="Calibri"/>
                <w:color w:val="1A1A1A"/>
                <w:sz w:val="22"/>
                <w:szCs w:val="22"/>
                <w:lang w:val="en-US"/>
              </w:rPr>
              <w:t>-</w:t>
            </w:r>
            <w:r>
              <w:rPr>
                <w:rFonts w:ascii="Calibri" w:hAnsi="Calibri" w:eastAsia="Calibri" w:cs="Calibri"/>
                <w:color w:val="1A1A1A"/>
                <w:sz w:val="22"/>
                <w:szCs w:val="22"/>
              </w:rPr>
              <w:t xml:space="preserve"> Web Application Security (OWASP Top 10 Foundations)</w:t>
            </w:r>
          </w:p>
        </w:tc>
      </w:tr>
      <w:tr w14:paraId="28795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FFFFFF"/>
            <w:tcMar>
              <w:top w:w="110" w:type="dxa"/>
              <w:left w:w="160" w:type="dxa"/>
              <w:bottom w:w="110" w:type="dxa"/>
              <w:right w:w="120" w:type="dxa"/>
            </w:tcMar>
          </w:tcPr>
          <w:p w14:paraId="11E6EA1B">
            <w:pPr>
              <w:rPr>
                <w:sz w:val="24"/>
                <w:szCs w:val="28"/>
              </w:rPr>
            </w:pPr>
            <w:r>
              <w:rPr>
                <w:rFonts w:ascii="Calibri" w:hAnsi="Calibri" w:eastAsia="Calibri" w:cs="Calibri"/>
                <w:b/>
                <w:bCs/>
                <w:color w:val="1E3A66"/>
                <w:sz w:val="22"/>
                <w:szCs w:val="22"/>
              </w:rPr>
              <w:t>Date</w:t>
            </w:r>
          </w:p>
        </w:tc>
        <w:tc>
          <w:tcPr>
            <w:tcW w:w="5600" w:type="dxa"/>
            <w:shd w:val="clear" w:color="auto" w:fill="FFFFFF"/>
            <w:tcMar>
              <w:top w:w="110" w:type="dxa"/>
              <w:left w:w="160" w:type="dxa"/>
              <w:bottom w:w="110" w:type="dxa"/>
              <w:right w:w="120" w:type="dxa"/>
            </w:tcMar>
          </w:tcPr>
          <w:p w14:paraId="272907CF">
            <w:pPr>
              <w:rPr>
                <w:sz w:val="24"/>
                <w:szCs w:val="28"/>
              </w:rPr>
            </w:pPr>
            <w:r>
              <w:rPr>
                <w:rFonts w:ascii="Calibri" w:hAnsi="Calibri" w:eastAsia="Calibri" w:cs="Calibri"/>
                <w:color w:val="1A1A1A"/>
                <w:sz w:val="22"/>
                <w:szCs w:val="22"/>
              </w:rPr>
              <w:t>September 5, 2026</w:t>
            </w:r>
          </w:p>
        </w:tc>
      </w:tr>
    </w:tbl>
    <w:p w14:paraId="52EB7832">
      <w:pPr>
        <w:rPr>
          <w:sz w:val="24"/>
          <w:szCs w:val="28"/>
        </w:rPr>
      </w:pPr>
      <w:r>
        <w:rPr>
          <w:sz w:val="24"/>
          <w:szCs w:val="28"/>
        </w:rPr>
        <w:br w:type="page"/>
      </w:r>
      <w:r>
        <w:rPr>
          <w:rFonts w:ascii="Calibri" w:hAnsi="Calibri" w:eastAsia="Calibri" w:cs="Calibri"/>
          <w:b/>
          <w:bCs/>
          <w:color w:val="1E3A66"/>
          <w:sz w:val="36"/>
          <w:szCs w:val="36"/>
        </w:rPr>
        <w:t>1. Introduction &amp; Objectives</w:t>
      </w:r>
    </w:p>
    <w:p w14:paraId="0CFC2165">
      <w:pPr>
        <w:spacing w:after="180" w:line="300" w:lineRule="auto"/>
        <w:rPr>
          <w:sz w:val="24"/>
          <w:szCs w:val="28"/>
        </w:rPr>
      </w:pPr>
      <w:r>
        <w:rPr>
          <w:rFonts w:ascii="Calibri" w:hAnsi="Calibri" w:eastAsia="Calibri" w:cs="Calibri"/>
          <w:color w:val="1A1A1A"/>
          <w:sz w:val="28"/>
          <w:szCs w:val="28"/>
        </w:rPr>
        <w:t xml:space="preserve">This report documents the completion of the AstraQuantum Tech Week 4 assignment, Task WEBSEC-W01-BEGINNER: Web Application Security. The objective of this task was to build a working foundation in the OWASP Top 10 by completing a set of Apprentice-level labs on the PortSwigger Web Security Academy. Each lab was approached end-to-end </w:t>
      </w:r>
      <w:r>
        <w:rPr>
          <w:rFonts w:hint="default" w:ascii="Calibri" w:hAnsi="Calibri" w:eastAsia="Calibri" w:cs="Calibri"/>
          <w:color w:val="1A1A1A"/>
          <w:sz w:val="28"/>
          <w:szCs w:val="28"/>
          <w:lang w:val="en-US"/>
        </w:rPr>
        <w:t>-</w:t>
      </w:r>
      <w:r>
        <w:rPr>
          <w:rFonts w:ascii="Calibri" w:hAnsi="Calibri" w:eastAsia="Calibri" w:cs="Calibri"/>
          <w:color w:val="1A1A1A"/>
          <w:sz w:val="28"/>
          <w:szCs w:val="28"/>
        </w:rPr>
        <w:t xml:space="preserve"> recognising the vulnerability, exploiting it manually using Burp Suite, and reasoning through its real-world impact beyond the immediate lab scenario.</w:t>
      </w:r>
    </w:p>
    <w:p w14:paraId="52365442">
      <w:pPr>
        <w:spacing w:after="180" w:line="300" w:lineRule="auto"/>
        <w:rPr>
          <w:sz w:val="24"/>
          <w:szCs w:val="28"/>
        </w:rPr>
      </w:pPr>
      <w:r>
        <w:rPr>
          <w:rFonts w:ascii="Calibri" w:hAnsi="Calibri" w:eastAsia="Calibri" w:cs="Calibri"/>
          <w:color w:val="1A1A1A"/>
          <w:sz w:val="28"/>
          <w:szCs w:val="28"/>
        </w:rPr>
        <w:t>Four labs were completed in total: two examples of Injection (A03), and two examples of Broken Access Control (A01). The fourth lab was substituted from the originally assigned CSRF exercise, as explained in that lab's section below, so that the full set could be completed using Burp Suite Community Edition without loss of learning value.</w:t>
      </w:r>
    </w:p>
    <w:p w14:paraId="2810DC17">
      <w:pPr>
        <w:pStyle w:val="2"/>
        <w:pBdr>
          <w:bottom w:val="single" w:color="3B6FC9" w:sz="6" w:space="4"/>
        </w:pBdr>
        <w:spacing w:before="360" w:after="160"/>
        <w:rPr>
          <w:sz w:val="40"/>
          <w:szCs w:val="40"/>
        </w:rPr>
      </w:pPr>
      <w:r>
        <w:rPr>
          <w:rFonts w:ascii="Calibri" w:hAnsi="Calibri" w:eastAsia="Calibri" w:cs="Calibri"/>
          <w:b/>
          <w:bCs/>
          <w:color w:val="1E3A66"/>
          <w:sz w:val="36"/>
          <w:szCs w:val="36"/>
        </w:rPr>
        <w:t>2. Tools Used</w:t>
      </w:r>
    </w:p>
    <w:p w14:paraId="4A9B252F">
      <w:pPr>
        <w:pStyle w:val="18"/>
        <w:numPr>
          <w:ilvl w:val="0"/>
          <w:numId w:val="1"/>
        </w:numPr>
        <w:spacing w:after="100"/>
        <w:rPr>
          <w:sz w:val="24"/>
          <w:szCs w:val="28"/>
        </w:rPr>
      </w:pPr>
      <w:r>
        <w:rPr>
          <w:rFonts w:ascii="Calibri" w:hAnsi="Calibri" w:eastAsia="Calibri" w:cs="Calibri"/>
          <w:color w:val="1A1A1A"/>
          <w:sz w:val="28"/>
          <w:szCs w:val="28"/>
        </w:rPr>
        <w:t xml:space="preserve">Browser (Chromium-based, e.g. Microsoft Edge) </w:t>
      </w:r>
      <w:r>
        <w:rPr>
          <w:rFonts w:hint="default" w:ascii="Calibri" w:hAnsi="Calibri" w:eastAsia="Calibri" w:cs="Calibri"/>
          <w:color w:val="1A1A1A"/>
          <w:sz w:val="28"/>
          <w:szCs w:val="28"/>
          <w:lang w:val="en-US"/>
        </w:rPr>
        <w:t>-</w:t>
      </w:r>
      <w:r>
        <w:rPr>
          <w:rFonts w:ascii="Calibri" w:hAnsi="Calibri" w:eastAsia="Calibri" w:cs="Calibri"/>
          <w:color w:val="1A1A1A"/>
          <w:sz w:val="28"/>
          <w:szCs w:val="28"/>
        </w:rPr>
        <w:t xml:space="preserve"> used to interact with each PortSwigger Web Security Academy lab instance.</w:t>
      </w:r>
    </w:p>
    <w:p w14:paraId="3824A6DB">
      <w:pPr>
        <w:pStyle w:val="18"/>
        <w:numPr>
          <w:ilvl w:val="0"/>
          <w:numId w:val="1"/>
        </w:numPr>
        <w:spacing w:after="100"/>
        <w:rPr>
          <w:sz w:val="24"/>
          <w:szCs w:val="28"/>
        </w:rPr>
      </w:pPr>
      <w:r>
        <w:rPr>
          <w:rFonts w:ascii="Calibri" w:hAnsi="Calibri" w:eastAsia="Calibri" w:cs="Calibri"/>
          <w:color w:val="1A1A1A"/>
          <w:sz w:val="28"/>
          <w:szCs w:val="28"/>
        </w:rPr>
        <w:t xml:space="preserve">Burp Suite Community Edition </w:t>
      </w:r>
      <w:r>
        <w:rPr>
          <w:rFonts w:hint="default" w:ascii="Calibri" w:hAnsi="Calibri" w:eastAsia="Calibri" w:cs="Calibri"/>
          <w:color w:val="1A1A1A"/>
          <w:sz w:val="28"/>
          <w:szCs w:val="28"/>
          <w:lang w:val="en-US"/>
        </w:rPr>
        <w:t>-</w:t>
      </w:r>
      <w:r>
        <w:rPr>
          <w:rFonts w:ascii="Calibri" w:hAnsi="Calibri" w:eastAsia="Calibri" w:cs="Calibri"/>
          <w:color w:val="1A1A1A"/>
          <w:sz w:val="28"/>
          <w:szCs w:val="28"/>
        </w:rPr>
        <w:t xml:space="preserve"> proxied all browser traffic through 127.0.0.1:8080 to inspect and modify requests in Proxy/Repeater.</w:t>
      </w:r>
    </w:p>
    <w:p w14:paraId="28314345">
      <w:pPr>
        <w:pStyle w:val="18"/>
        <w:numPr>
          <w:ilvl w:val="0"/>
          <w:numId w:val="1"/>
        </w:numPr>
        <w:spacing w:after="100"/>
        <w:rPr>
          <w:sz w:val="24"/>
          <w:szCs w:val="28"/>
        </w:rPr>
      </w:pPr>
      <w:r>
        <w:rPr>
          <w:rFonts w:ascii="Calibri" w:hAnsi="Calibri" w:eastAsia="Calibri" w:cs="Calibri"/>
          <w:color w:val="1A1A1A"/>
          <w:sz w:val="28"/>
          <w:szCs w:val="28"/>
        </w:rPr>
        <w:t xml:space="preserve">PortSwigger Web Security Academy </w:t>
      </w:r>
      <w:r>
        <w:rPr>
          <w:rFonts w:hint="default" w:ascii="Calibri" w:hAnsi="Calibri" w:eastAsia="Calibri" w:cs="Calibri"/>
          <w:color w:val="1A1A1A"/>
          <w:sz w:val="28"/>
          <w:szCs w:val="28"/>
          <w:lang w:val="en-US"/>
        </w:rPr>
        <w:t>-</w:t>
      </w:r>
      <w:r>
        <w:rPr>
          <w:rFonts w:ascii="Calibri" w:hAnsi="Calibri" w:eastAsia="Calibri" w:cs="Calibri"/>
          <w:color w:val="1A1A1A"/>
          <w:sz w:val="28"/>
          <w:szCs w:val="28"/>
        </w:rPr>
        <w:t xml:space="preserve"> free, browser-based lab environment; no local VM or Docker required.</w:t>
      </w:r>
    </w:p>
    <w:p w14:paraId="4625497D">
      <w:pPr>
        <w:spacing w:after="100"/>
        <w:rPr>
          <w:sz w:val="24"/>
          <w:szCs w:val="28"/>
        </w:rPr>
      </w:pPr>
    </w:p>
    <w:p w14:paraId="32FAEAE9">
      <w:pPr>
        <w:pStyle w:val="2"/>
        <w:pBdr>
          <w:bottom w:val="single" w:color="3B6FC9" w:sz="6" w:space="4"/>
        </w:pBdr>
        <w:spacing w:before="360" w:after="160"/>
        <w:rPr>
          <w:sz w:val="40"/>
          <w:szCs w:val="40"/>
        </w:rPr>
      </w:pPr>
      <w:r>
        <w:rPr>
          <w:rFonts w:ascii="Calibri" w:hAnsi="Calibri" w:eastAsia="Calibri" w:cs="Calibri"/>
          <w:b/>
          <w:bCs/>
          <w:color w:val="1E3A66"/>
          <w:sz w:val="36"/>
          <w:szCs w:val="36"/>
        </w:rPr>
        <w:t>3. Lab Walkthroughs</w:t>
      </w:r>
    </w:p>
    <w:p w14:paraId="536AA5DE">
      <w:pPr>
        <w:pStyle w:val="3"/>
        <w:spacing w:before="280" w:after="120"/>
        <w:rPr>
          <w:sz w:val="32"/>
          <w:szCs w:val="32"/>
        </w:rPr>
      </w:pPr>
      <w:r>
        <w:rPr>
          <w:rFonts w:ascii="Calibri" w:hAnsi="Calibri" w:eastAsia="Calibri" w:cs="Calibri"/>
          <w:b/>
          <w:bCs/>
          <w:color w:val="3B6FC9"/>
          <w:sz w:val="32"/>
          <w:szCs w:val="32"/>
        </w:rPr>
        <w:t xml:space="preserve">Lab 1 </w:t>
      </w:r>
      <w:r>
        <w:rPr>
          <w:rFonts w:hint="default" w:ascii="Calibri" w:hAnsi="Calibri" w:eastAsia="Calibri" w:cs="Calibri"/>
          <w:b/>
          <w:bCs/>
          <w:color w:val="3B6FC9"/>
          <w:sz w:val="32"/>
          <w:szCs w:val="32"/>
          <w:lang w:val="en-US"/>
        </w:rPr>
        <w:t>-</w:t>
      </w:r>
      <w:r>
        <w:rPr>
          <w:rFonts w:ascii="Calibri" w:hAnsi="Calibri" w:eastAsia="Calibri" w:cs="Calibri"/>
          <w:b/>
          <w:bCs/>
          <w:color w:val="3B6FC9"/>
          <w:sz w:val="32"/>
          <w:szCs w:val="32"/>
        </w:rPr>
        <w:t xml:space="preserve"> SQL Injection Vulnerability in WHERE Clause Allowing Retrieval of Hidden Data</w:t>
      </w:r>
    </w:p>
    <w:p w14:paraId="262D8AB3">
      <w:pPr>
        <w:spacing w:after="160"/>
        <w:rPr>
          <w:sz w:val="24"/>
          <w:szCs w:val="28"/>
        </w:rPr>
      </w:pPr>
      <w:r>
        <w:rPr>
          <w:rFonts w:ascii="Calibri" w:hAnsi="Calibri" w:eastAsia="Calibri" w:cs="Calibri"/>
          <w:b/>
          <w:bCs/>
          <w:color w:val="6B6B6B"/>
          <w:sz w:val="21"/>
          <w:szCs w:val="21"/>
        </w:rPr>
        <w:t xml:space="preserve">OWASP CATEGORY  </w:t>
      </w:r>
      <w:r>
        <w:rPr>
          <w:rFonts w:ascii="Calibri" w:hAnsi="Calibri" w:eastAsia="Calibri" w:cs="Calibri"/>
          <w:b/>
          <w:bCs/>
          <w:color w:val="3B6FC9"/>
          <w:sz w:val="22"/>
          <w:szCs w:val="22"/>
        </w:rPr>
        <w:t xml:space="preserve">A03 </w:t>
      </w:r>
      <w:r>
        <w:rPr>
          <w:rFonts w:hint="default" w:ascii="Calibri" w:hAnsi="Calibri" w:eastAsia="Calibri" w:cs="Calibri"/>
          <w:b/>
          <w:bCs/>
          <w:color w:val="3B6FC9"/>
          <w:sz w:val="22"/>
          <w:szCs w:val="22"/>
          <w:lang w:val="en-US"/>
        </w:rPr>
        <w:t xml:space="preserve">- </w:t>
      </w:r>
      <w:r>
        <w:rPr>
          <w:rFonts w:ascii="Calibri" w:hAnsi="Calibri" w:eastAsia="Calibri" w:cs="Calibri"/>
          <w:b/>
          <w:bCs/>
          <w:color w:val="3B6FC9"/>
          <w:sz w:val="22"/>
          <w:szCs w:val="22"/>
        </w:rPr>
        <w:t xml:space="preserve"> Injection</w:t>
      </w:r>
    </w:p>
    <w:tbl>
      <w:tblPr>
        <w:tblStyle w:val="9"/>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3B1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80" w:type="dxa"/>
            <w:shd w:val="clear" w:color="auto" w:fill="F4F4F4"/>
            <w:tcMar>
              <w:top w:w="120" w:type="dxa"/>
              <w:left w:w="160" w:type="dxa"/>
              <w:bottom w:w="120" w:type="dxa"/>
              <w:right w:w="160" w:type="dxa"/>
            </w:tcMar>
          </w:tcPr>
          <w:p w14:paraId="0F91FBD9">
            <w:pPr>
              <w:rPr>
                <w:sz w:val="24"/>
                <w:szCs w:val="28"/>
              </w:rPr>
            </w:pPr>
            <w:r>
              <w:rPr>
                <w:rFonts w:ascii="Calibri" w:hAnsi="Calibri" w:eastAsia="Calibri" w:cs="Calibri"/>
                <w:b/>
                <w:bCs/>
                <w:color w:val="6B6B6B"/>
                <w:sz w:val="21"/>
                <w:szCs w:val="21"/>
              </w:rPr>
              <w:t xml:space="preserve">PAYLOAD  </w:t>
            </w:r>
            <w:r>
              <w:rPr>
                <w:rFonts w:ascii="Consolas" w:hAnsi="Consolas" w:eastAsia="Consolas" w:cs="Consolas"/>
                <w:color w:val="1A1A1A"/>
                <w:sz w:val="24"/>
                <w:szCs w:val="24"/>
              </w:rPr>
              <w:t>' OR 1=1--</w:t>
            </w:r>
          </w:p>
        </w:tc>
      </w:tr>
    </w:tbl>
    <w:p w14:paraId="0E67AF2D">
      <w:pPr>
        <w:spacing w:after="40"/>
        <w:rPr>
          <w:sz w:val="24"/>
          <w:szCs w:val="28"/>
        </w:rPr>
      </w:pPr>
    </w:p>
    <w:p w14:paraId="72C9975B">
      <w:pPr>
        <w:pBdr>
          <w:top w:val="single" w:color="D9D9D9" w:sz="4" w:space="4"/>
          <w:left w:val="single" w:color="D9D9D9" w:sz="4" w:space="4"/>
          <w:bottom w:val="single" w:color="D9D9D9" w:sz="4" w:space="4"/>
          <w:right w:val="single" w:color="D9D9D9" w:sz="4" w:space="4"/>
        </w:pBdr>
        <w:spacing w:before="160" w:after="60"/>
        <w:jc w:val="center"/>
        <w:rPr>
          <w:sz w:val="24"/>
          <w:szCs w:val="28"/>
        </w:rPr>
      </w:pPr>
      <w:r>
        <w:rPr>
          <w:sz w:val="24"/>
          <w:szCs w:val="28"/>
        </w:rPr>
        <w:drawing>
          <wp:inline distT="0" distB="0" distL="0" distR="0">
            <wp:extent cx="5334000" cy="2684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334000" cy="2685162"/>
                    </a:xfrm>
                    <a:prstGeom prst="rect">
                      <a:avLst/>
                    </a:prstGeom>
                  </pic:spPr>
                </pic:pic>
              </a:graphicData>
            </a:graphic>
          </wp:inline>
        </w:drawing>
      </w:r>
    </w:p>
    <w:p w14:paraId="1816831E">
      <w:pPr>
        <w:spacing w:after="220"/>
        <w:jc w:val="center"/>
        <w:rPr>
          <w:sz w:val="24"/>
          <w:szCs w:val="28"/>
        </w:rPr>
      </w:pPr>
      <w:r>
        <w:rPr>
          <w:rFonts w:ascii="Calibri" w:hAnsi="Calibri" w:eastAsia="Calibri" w:cs="Calibri"/>
          <w:i/>
          <w:iCs/>
          <w:color w:val="6B6B6B"/>
          <w:sz w:val="21"/>
          <w:szCs w:val="21"/>
        </w:rPr>
        <w:t xml:space="preserve">Figure 1.1 </w:t>
      </w:r>
      <w:r>
        <w:rPr>
          <w:rFonts w:hint="default" w:ascii="Calibri" w:hAnsi="Calibri" w:eastAsia="Calibri" w:cs="Calibri"/>
          <w:i/>
          <w:iCs/>
          <w:color w:val="6B6B6B"/>
          <w:sz w:val="21"/>
          <w:szCs w:val="21"/>
          <w:lang w:val="en-US"/>
        </w:rPr>
        <w:t>-</w:t>
      </w:r>
      <w:r>
        <w:rPr>
          <w:rFonts w:ascii="Calibri" w:hAnsi="Calibri" w:eastAsia="Calibri" w:cs="Calibri"/>
          <w:i/>
          <w:iCs/>
          <w:color w:val="6B6B6B"/>
          <w:sz w:val="21"/>
          <w:szCs w:val="21"/>
        </w:rPr>
        <w:t xml:space="preserve"> Lab solved: SQL injection payload ' OR 1=1-- returns all hidden products.</w:t>
      </w:r>
    </w:p>
    <w:p w14:paraId="481B5DE4">
      <w:pPr>
        <w:pBdr>
          <w:top w:val="single" w:color="D9D9D9" w:sz="4" w:space="4"/>
          <w:left w:val="single" w:color="D9D9D9" w:sz="4" w:space="4"/>
          <w:bottom w:val="single" w:color="D9D9D9" w:sz="4" w:space="4"/>
          <w:right w:val="single" w:color="D9D9D9" w:sz="4" w:space="4"/>
        </w:pBdr>
        <w:spacing w:before="160" w:after="60"/>
        <w:jc w:val="center"/>
        <w:rPr>
          <w:sz w:val="24"/>
          <w:szCs w:val="28"/>
        </w:rPr>
      </w:pPr>
      <w:r>
        <w:rPr>
          <w:sz w:val="24"/>
          <w:szCs w:val="28"/>
        </w:rPr>
        <w:drawing>
          <wp:inline distT="0" distB="0" distL="0" distR="0">
            <wp:extent cx="4572000" cy="2425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572000" cy="2425628"/>
                    </a:xfrm>
                    <a:prstGeom prst="rect">
                      <a:avLst/>
                    </a:prstGeom>
                  </pic:spPr>
                </pic:pic>
              </a:graphicData>
            </a:graphic>
          </wp:inline>
        </w:drawing>
      </w:r>
    </w:p>
    <w:p w14:paraId="294C6731">
      <w:pPr>
        <w:spacing w:after="220"/>
        <w:jc w:val="center"/>
        <w:rPr>
          <w:sz w:val="24"/>
          <w:szCs w:val="28"/>
        </w:rPr>
      </w:pPr>
      <w:r>
        <w:rPr>
          <w:rFonts w:ascii="Calibri" w:hAnsi="Calibri" w:eastAsia="Calibri" w:cs="Calibri"/>
          <w:i/>
          <w:iCs/>
          <w:color w:val="6B6B6B"/>
          <w:sz w:val="21"/>
          <w:szCs w:val="21"/>
        </w:rPr>
        <w:t xml:space="preserve">Figure 1.2 </w:t>
      </w:r>
      <w:r>
        <w:rPr>
          <w:rFonts w:hint="default" w:ascii="Calibri" w:hAnsi="Calibri" w:eastAsia="Calibri" w:cs="Calibri"/>
          <w:i/>
          <w:iCs/>
          <w:color w:val="6B6B6B"/>
          <w:sz w:val="21"/>
          <w:szCs w:val="21"/>
          <w:lang w:val="en-US"/>
        </w:rPr>
        <w:t>-</w:t>
      </w:r>
      <w:r>
        <w:rPr>
          <w:rFonts w:ascii="Calibri" w:hAnsi="Calibri" w:eastAsia="Calibri" w:cs="Calibri"/>
          <w:i/>
          <w:iCs/>
          <w:color w:val="6B6B6B"/>
          <w:sz w:val="21"/>
          <w:szCs w:val="21"/>
        </w:rPr>
        <w:t xml:space="preserve"> Burp Suite Repeater showing the payload injected into the category parameter via the Referer header.</w:t>
      </w:r>
    </w:p>
    <w:p w14:paraId="246B78DF">
      <w:pPr>
        <w:spacing w:after="60"/>
        <w:rPr>
          <w:sz w:val="24"/>
          <w:szCs w:val="28"/>
        </w:rPr>
      </w:pPr>
      <w:r>
        <w:rPr>
          <w:rFonts w:ascii="Calibri" w:hAnsi="Calibri" w:eastAsia="Calibri" w:cs="Calibri"/>
          <w:b/>
          <w:bCs/>
          <w:color w:val="1E3A66"/>
          <w:sz w:val="22"/>
          <w:szCs w:val="22"/>
        </w:rPr>
        <w:t>Explanation</w:t>
      </w:r>
    </w:p>
    <w:p w14:paraId="694BCA39">
      <w:pPr>
        <w:spacing w:after="180" w:line="300" w:lineRule="auto"/>
        <w:rPr>
          <w:rFonts w:ascii="Calibri" w:hAnsi="Calibri" w:eastAsia="Calibri" w:cs="Calibri"/>
          <w:color w:val="1A1A1A"/>
          <w:sz w:val="28"/>
          <w:szCs w:val="28"/>
        </w:rPr>
      </w:pPr>
      <w:r>
        <w:rPr>
          <w:rFonts w:ascii="Calibri" w:hAnsi="Calibri" w:eastAsia="Calibri" w:cs="Calibri"/>
          <w:color w:val="1A1A1A"/>
          <w:sz w:val="28"/>
          <w:szCs w:val="28"/>
        </w:rPr>
        <w:t>This vulnerability exists because the web application concatenates user-supplied input from the category parameter directly into the backend SQL query without sanitization or parameterization. By injecting ' OR 1=1--, the attacker terminates the intended string and forces a universally true condition, while the -- comments out the remainder of the original query. Beyond this specific lab scenario, an attacker could leverage this to bypass authentication mechanisms, expose sensitive hidden records, or systematically map the entire database structure.</w:t>
      </w:r>
    </w:p>
    <w:p w14:paraId="4DEEE270">
      <w:pPr>
        <w:spacing w:after="180" w:line="300" w:lineRule="auto"/>
        <w:rPr>
          <w:rFonts w:ascii="Calibri" w:hAnsi="Calibri" w:eastAsia="Calibri" w:cs="Calibri"/>
          <w:color w:val="1A1A1A"/>
          <w:sz w:val="28"/>
          <w:szCs w:val="28"/>
        </w:rPr>
      </w:pPr>
    </w:p>
    <w:p w14:paraId="7E75FB10">
      <w:pPr>
        <w:spacing w:after="60"/>
        <w:rPr>
          <w:sz w:val="24"/>
          <w:szCs w:val="28"/>
        </w:rPr>
      </w:pPr>
      <w:r>
        <w:rPr>
          <w:rFonts w:ascii="Calibri" w:hAnsi="Calibri" w:eastAsia="Calibri" w:cs="Calibri"/>
          <w:b/>
          <w:bCs/>
          <w:color w:val="1E3A66"/>
          <w:sz w:val="22"/>
          <w:szCs w:val="22"/>
        </w:rPr>
        <w:t>Mitigation</w:t>
      </w:r>
    </w:p>
    <w:p w14:paraId="1E2878EE">
      <w:pPr>
        <w:spacing w:after="180" w:line="300" w:lineRule="auto"/>
        <w:rPr>
          <w:rFonts w:ascii="Calibri" w:hAnsi="Calibri" w:eastAsia="Calibri" w:cs="Calibri"/>
          <w:color w:val="1A1A1A"/>
          <w:sz w:val="28"/>
          <w:szCs w:val="28"/>
        </w:rPr>
      </w:pPr>
      <w:r>
        <w:rPr>
          <w:rFonts w:ascii="Calibri" w:hAnsi="Calibri" w:eastAsia="Calibri" w:cs="Calibri"/>
          <w:color w:val="1A1A1A"/>
          <w:sz w:val="28"/>
          <w:szCs w:val="28"/>
        </w:rPr>
        <w:t>Implement parameterized queries (prepared statements) on the backend to ensure all user input is handled strictly as string data rather than executable SQL code.</w:t>
      </w:r>
    </w:p>
    <w:p w14:paraId="3BFECB31">
      <w:pPr>
        <w:spacing w:after="180" w:line="300" w:lineRule="auto"/>
        <w:rPr>
          <w:rFonts w:ascii="Calibri" w:hAnsi="Calibri" w:eastAsia="Calibri" w:cs="Calibri"/>
          <w:color w:val="1A1A1A"/>
          <w:sz w:val="28"/>
          <w:szCs w:val="28"/>
        </w:rPr>
      </w:pPr>
    </w:p>
    <w:p w14:paraId="5A8E0A77">
      <w:pPr>
        <w:pStyle w:val="3"/>
        <w:spacing w:before="280" w:after="120"/>
        <w:rPr>
          <w:sz w:val="32"/>
          <w:szCs w:val="32"/>
        </w:rPr>
      </w:pPr>
      <w:r>
        <w:rPr>
          <w:rFonts w:ascii="Calibri" w:hAnsi="Calibri" w:eastAsia="Calibri" w:cs="Calibri"/>
          <w:b/>
          <w:bCs/>
          <w:color w:val="3B6FC9"/>
          <w:sz w:val="32"/>
          <w:szCs w:val="32"/>
        </w:rPr>
        <w:t xml:space="preserve">Lab 2 </w:t>
      </w:r>
      <w:r>
        <w:rPr>
          <w:rFonts w:hint="default" w:ascii="Calibri" w:hAnsi="Calibri" w:eastAsia="Calibri" w:cs="Calibri"/>
          <w:b/>
          <w:bCs/>
          <w:color w:val="3B6FC9"/>
          <w:sz w:val="32"/>
          <w:szCs w:val="32"/>
          <w:lang w:val="en-US"/>
        </w:rPr>
        <w:t>-</w:t>
      </w:r>
      <w:r>
        <w:rPr>
          <w:rFonts w:ascii="Calibri" w:hAnsi="Calibri" w:eastAsia="Calibri" w:cs="Calibri"/>
          <w:b/>
          <w:bCs/>
          <w:color w:val="3B6FC9"/>
          <w:sz w:val="32"/>
          <w:szCs w:val="32"/>
        </w:rPr>
        <w:t xml:space="preserve"> Cross-Site Scripting (XSS): Reflected XSS into HTML Context with Nothing Encoded</w:t>
      </w:r>
    </w:p>
    <w:p w14:paraId="3311E8F4">
      <w:pPr>
        <w:spacing w:after="160"/>
        <w:rPr>
          <w:sz w:val="24"/>
          <w:szCs w:val="28"/>
        </w:rPr>
      </w:pPr>
      <w:r>
        <w:rPr>
          <w:rFonts w:ascii="Calibri" w:hAnsi="Calibri" w:eastAsia="Calibri" w:cs="Calibri"/>
          <w:b/>
          <w:bCs/>
          <w:color w:val="6B6B6B"/>
          <w:sz w:val="21"/>
          <w:szCs w:val="21"/>
        </w:rPr>
        <w:t xml:space="preserve">OWASP CATEGORY  </w:t>
      </w:r>
      <w:r>
        <w:rPr>
          <w:rFonts w:ascii="Calibri" w:hAnsi="Calibri" w:eastAsia="Calibri" w:cs="Calibri"/>
          <w:b/>
          <w:bCs/>
          <w:color w:val="3B6FC9"/>
          <w:sz w:val="22"/>
          <w:szCs w:val="22"/>
        </w:rPr>
        <w:t>A03 — Injection</w:t>
      </w:r>
    </w:p>
    <w:tbl>
      <w:tblPr>
        <w:tblStyle w:val="9"/>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C479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80" w:type="dxa"/>
            <w:shd w:val="clear" w:color="auto" w:fill="F4F4F4"/>
            <w:tcMar>
              <w:top w:w="120" w:type="dxa"/>
              <w:left w:w="160" w:type="dxa"/>
              <w:bottom w:w="120" w:type="dxa"/>
              <w:right w:w="160" w:type="dxa"/>
            </w:tcMar>
          </w:tcPr>
          <w:p w14:paraId="7420CBF4">
            <w:pPr>
              <w:rPr>
                <w:sz w:val="24"/>
                <w:szCs w:val="28"/>
              </w:rPr>
            </w:pPr>
            <w:r>
              <w:rPr>
                <w:rFonts w:ascii="Calibri" w:hAnsi="Calibri" w:eastAsia="Calibri" w:cs="Calibri"/>
                <w:b/>
                <w:bCs/>
                <w:color w:val="6B6B6B"/>
                <w:sz w:val="21"/>
                <w:szCs w:val="21"/>
              </w:rPr>
              <w:t xml:space="preserve">PAYLOAD  </w:t>
            </w:r>
            <w:r>
              <w:rPr>
                <w:rFonts w:ascii="Consolas" w:hAnsi="Consolas" w:eastAsia="Consolas" w:cs="Consolas"/>
                <w:color w:val="1A1A1A"/>
                <w:sz w:val="24"/>
                <w:szCs w:val="24"/>
              </w:rPr>
              <w:t>&lt;script&gt;alert(1)&lt;/script&gt;</w:t>
            </w:r>
          </w:p>
        </w:tc>
      </w:tr>
    </w:tbl>
    <w:p w14:paraId="064AD14F">
      <w:pPr>
        <w:spacing w:after="40"/>
        <w:rPr>
          <w:sz w:val="24"/>
          <w:szCs w:val="28"/>
        </w:rPr>
      </w:pPr>
    </w:p>
    <w:p w14:paraId="7E332838">
      <w:pPr>
        <w:pBdr>
          <w:top w:val="single" w:color="D9D9D9" w:sz="4" w:space="4"/>
          <w:left w:val="single" w:color="D9D9D9" w:sz="4" w:space="4"/>
          <w:bottom w:val="single" w:color="D9D9D9" w:sz="4" w:space="4"/>
          <w:right w:val="single" w:color="D9D9D9" w:sz="4" w:space="4"/>
        </w:pBdr>
        <w:spacing w:before="160" w:after="60"/>
        <w:jc w:val="center"/>
        <w:rPr>
          <w:sz w:val="24"/>
          <w:szCs w:val="28"/>
        </w:rPr>
      </w:pPr>
      <w:r>
        <w:rPr>
          <w:sz w:val="24"/>
          <w:szCs w:val="28"/>
        </w:rPr>
        <w:drawing>
          <wp:inline distT="0" distB="0" distL="0" distR="0">
            <wp:extent cx="4476750" cy="2242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476750" cy="2243073"/>
                    </a:xfrm>
                    <a:prstGeom prst="rect">
                      <a:avLst/>
                    </a:prstGeom>
                  </pic:spPr>
                </pic:pic>
              </a:graphicData>
            </a:graphic>
          </wp:inline>
        </w:drawing>
      </w:r>
    </w:p>
    <w:p w14:paraId="3B6C05DC">
      <w:pPr>
        <w:spacing w:after="220"/>
        <w:jc w:val="center"/>
        <w:rPr>
          <w:sz w:val="24"/>
          <w:szCs w:val="28"/>
        </w:rPr>
      </w:pPr>
      <w:r>
        <w:rPr>
          <w:rFonts w:ascii="Calibri" w:hAnsi="Calibri" w:eastAsia="Calibri" w:cs="Calibri"/>
          <w:i/>
          <w:iCs/>
          <w:color w:val="6B6B6B"/>
          <w:sz w:val="21"/>
          <w:szCs w:val="21"/>
        </w:rPr>
        <w:t xml:space="preserve">Figure 2.1 </w:t>
      </w:r>
      <w:r>
        <w:rPr>
          <w:rFonts w:hint="default" w:ascii="Calibri" w:hAnsi="Calibri" w:eastAsia="Calibri" w:cs="Calibri"/>
          <w:i/>
          <w:iCs/>
          <w:color w:val="6B6B6B"/>
          <w:sz w:val="21"/>
          <w:szCs w:val="21"/>
          <w:lang w:val="en-US"/>
        </w:rPr>
        <w:t>-</w:t>
      </w:r>
      <w:r>
        <w:rPr>
          <w:rFonts w:ascii="Calibri" w:hAnsi="Calibri" w:eastAsia="Calibri" w:cs="Calibri"/>
          <w:i/>
          <w:iCs/>
          <w:color w:val="6B6B6B"/>
          <w:sz w:val="21"/>
          <w:szCs w:val="21"/>
        </w:rPr>
        <w:t xml:space="preserve"> JavaScript alert box firing, confirming the injected &lt;script&gt; executed in the browser.</w:t>
      </w:r>
    </w:p>
    <w:p w14:paraId="01CECCBE">
      <w:pPr>
        <w:pBdr>
          <w:top w:val="single" w:color="D9D9D9" w:sz="4" w:space="4"/>
          <w:left w:val="single" w:color="D9D9D9" w:sz="4" w:space="4"/>
          <w:bottom w:val="single" w:color="D9D9D9" w:sz="4" w:space="4"/>
          <w:right w:val="single" w:color="D9D9D9" w:sz="4" w:space="4"/>
        </w:pBdr>
        <w:spacing w:before="160" w:after="60"/>
        <w:jc w:val="center"/>
        <w:rPr>
          <w:sz w:val="24"/>
          <w:szCs w:val="28"/>
        </w:rPr>
      </w:pPr>
      <w:r>
        <w:rPr>
          <w:sz w:val="24"/>
          <w:szCs w:val="28"/>
        </w:rPr>
        <w:drawing>
          <wp:inline distT="0" distB="0" distL="0" distR="0">
            <wp:extent cx="5334000" cy="2652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334000" cy="2652963"/>
                    </a:xfrm>
                    <a:prstGeom prst="rect">
                      <a:avLst/>
                    </a:prstGeom>
                  </pic:spPr>
                </pic:pic>
              </a:graphicData>
            </a:graphic>
          </wp:inline>
        </w:drawing>
      </w:r>
    </w:p>
    <w:p w14:paraId="697B9071">
      <w:pPr>
        <w:spacing w:after="220"/>
        <w:jc w:val="center"/>
        <w:rPr>
          <w:sz w:val="24"/>
          <w:szCs w:val="28"/>
        </w:rPr>
      </w:pPr>
      <w:r>
        <w:rPr>
          <w:rFonts w:ascii="Calibri" w:hAnsi="Calibri" w:eastAsia="Calibri" w:cs="Calibri"/>
          <w:i/>
          <w:iCs/>
          <w:color w:val="6B6B6B"/>
          <w:sz w:val="21"/>
          <w:szCs w:val="21"/>
        </w:rPr>
        <w:t xml:space="preserve">Figure 2.2 </w:t>
      </w:r>
      <w:r>
        <w:rPr>
          <w:rFonts w:hint="default" w:ascii="Calibri" w:hAnsi="Calibri" w:eastAsia="Calibri" w:cs="Calibri"/>
          <w:i/>
          <w:iCs/>
          <w:color w:val="6B6B6B"/>
          <w:sz w:val="21"/>
          <w:szCs w:val="21"/>
          <w:lang w:val="en-US"/>
        </w:rPr>
        <w:t>-</w:t>
      </w:r>
      <w:r>
        <w:rPr>
          <w:rFonts w:ascii="Calibri" w:hAnsi="Calibri" w:eastAsia="Calibri" w:cs="Calibri"/>
          <w:i/>
          <w:iCs/>
          <w:color w:val="6B6B6B"/>
          <w:sz w:val="21"/>
          <w:szCs w:val="21"/>
        </w:rPr>
        <w:t xml:space="preserve"> Lab solved: reflected XSS confirmed via the search results page.</w:t>
      </w:r>
    </w:p>
    <w:p w14:paraId="4EEE394A">
      <w:pPr>
        <w:spacing w:after="60"/>
        <w:rPr>
          <w:sz w:val="24"/>
          <w:szCs w:val="28"/>
        </w:rPr>
      </w:pPr>
      <w:r>
        <w:rPr>
          <w:rFonts w:ascii="Calibri" w:hAnsi="Calibri" w:eastAsia="Calibri" w:cs="Calibri"/>
          <w:b/>
          <w:bCs/>
          <w:color w:val="1E3A66"/>
          <w:sz w:val="22"/>
          <w:szCs w:val="22"/>
        </w:rPr>
        <w:t>Explanation</w:t>
      </w:r>
    </w:p>
    <w:p w14:paraId="7C30A153">
      <w:pPr>
        <w:spacing w:after="180" w:line="300" w:lineRule="auto"/>
        <w:rPr>
          <w:rFonts w:ascii="Calibri" w:hAnsi="Calibri" w:eastAsia="Calibri" w:cs="Calibri"/>
          <w:color w:val="1A1A1A"/>
          <w:sz w:val="28"/>
          <w:szCs w:val="28"/>
        </w:rPr>
      </w:pPr>
      <w:r>
        <w:rPr>
          <w:rFonts w:ascii="Calibri" w:hAnsi="Calibri" w:eastAsia="Calibri" w:cs="Calibri"/>
          <w:color w:val="1A1A1A"/>
          <w:sz w:val="28"/>
          <w:szCs w:val="28"/>
        </w:rPr>
        <w:t>This vulnerability occurs because the application takes user input from the search parameter and echoes it directly into the HTML response without any sanitization or encoding. Because the input is not treated as raw text, the victim's browser interprets the injected &lt;script&gt; tags as executable code. In a real-world scenario, an attacker could craft a malicious link containing this payload and send it to a victim; when clicked, the script executes within the victim's session, potentially allowing the attacker to steal session cookies, capture keystrokes, or perform unauthorized actions on the user's behalf.</w:t>
      </w:r>
    </w:p>
    <w:p w14:paraId="30B65F84">
      <w:pPr>
        <w:spacing w:after="180" w:line="300" w:lineRule="auto"/>
        <w:rPr>
          <w:rFonts w:ascii="Calibri" w:hAnsi="Calibri" w:eastAsia="Calibri" w:cs="Calibri"/>
          <w:color w:val="1A1A1A"/>
          <w:sz w:val="28"/>
          <w:szCs w:val="28"/>
        </w:rPr>
      </w:pPr>
    </w:p>
    <w:p w14:paraId="283C3793">
      <w:pPr>
        <w:spacing w:after="60"/>
        <w:rPr>
          <w:sz w:val="24"/>
          <w:szCs w:val="28"/>
        </w:rPr>
      </w:pPr>
      <w:r>
        <w:rPr>
          <w:rFonts w:ascii="Calibri" w:hAnsi="Calibri" w:eastAsia="Calibri" w:cs="Calibri"/>
          <w:b/>
          <w:bCs/>
          <w:color w:val="1E3A66"/>
          <w:sz w:val="22"/>
          <w:szCs w:val="22"/>
        </w:rPr>
        <w:t>Mitigation</w:t>
      </w:r>
    </w:p>
    <w:p w14:paraId="5D7AA1CC">
      <w:pPr>
        <w:spacing w:after="180" w:line="300" w:lineRule="auto"/>
        <w:rPr>
          <w:sz w:val="24"/>
          <w:szCs w:val="28"/>
        </w:rPr>
      </w:pPr>
      <w:r>
        <w:rPr>
          <w:rFonts w:ascii="Calibri" w:hAnsi="Calibri" w:eastAsia="Calibri" w:cs="Calibri"/>
          <w:color w:val="1A1A1A"/>
          <w:sz w:val="28"/>
          <w:szCs w:val="28"/>
        </w:rPr>
        <w:t>Implement strict context-aware output encoding on the server side before reflecting any user-supplied data into the browser. For example, converting the angle-bracket characters into their HTML entity equivalents ensures the browser renders the data safely as text rather than executing it as code.</w:t>
      </w:r>
    </w:p>
    <w:p w14:paraId="2D01BECF">
      <w:pPr>
        <w:pStyle w:val="3"/>
        <w:spacing w:before="280" w:after="120"/>
        <w:rPr>
          <w:sz w:val="32"/>
          <w:szCs w:val="32"/>
        </w:rPr>
      </w:pPr>
      <w:r>
        <w:rPr>
          <w:rFonts w:ascii="Calibri" w:hAnsi="Calibri" w:eastAsia="Calibri" w:cs="Calibri"/>
          <w:b/>
          <w:bCs/>
          <w:color w:val="3B6FC9"/>
          <w:sz w:val="32"/>
          <w:szCs w:val="32"/>
        </w:rPr>
        <w:t xml:space="preserve">Lab 3 </w:t>
      </w:r>
      <w:r>
        <w:rPr>
          <w:rFonts w:hint="default" w:ascii="Calibri" w:hAnsi="Calibri" w:eastAsia="Calibri" w:cs="Calibri"/>
          <w:b/>
          <w:bCs/>
          <w:color w:val="3B6FC9"/>
          <w:sz w:val="32"/>
          <w:szCs w:val="32"/>
          <w:lang w:val="en-US"/>
        </w:rPr>
        <w:t>-</w:t>
      </w:r>
      <w:r>
        <w:rPr>
          <w:rFonts w:ascii="Calibri" w:hAnsi="Calibri" w:eastAsia="Calibri" w:cs="Calibri"/>
          <w:b/>
          <w:bCs/>
          <w:color w:val="3B6FC9"/>
          <w:sz w:val="32"/>
          <w:szCs w:val="32"/>
        </w:rPr>
        <w:t xml:space="preserve"> Unprotected Admin Functionality</w:t>
      </w:r>
    </w:p>
    <w:p w14:paraId="6CEF83D7">
      <w:pPr>
        <w:spacing w:after="160"/>
        <w:rPr>
          <w:sz w:val="24"/>
          <w:szCs w:val="28"/>
        </w:rPr>
      </w:pPr>
      <w:r>
        <w:rPr>
          <w:rFonts w:ascii="Calibri" w:hAnsi="Calibri" w:eastAsia="Calibri" w:cs="Calibri"/>
          <w:b/>
          <w:bCs/>
          <w:color w:val="6B6B6B"/>
          <w:sz w:val="21"/>
          <w:szCs w:val="21"/>
        </w:rPr>
        <w:t xml:space="preserve">OWASP CATEGORY  </w:t>
      </w:r>
      <w:r>
        <w:rPr>
          <w:rFonts w:ascii="Calibri" w:hAnsi="Calibri" w:eastAsia="Calibri" w:cs="Calibri"/>
          <w:b/>
          <w:bCs/>
          <w:color w:val="3B6FC9"/>
          <w:sz w:val="22"/>
          <w:szCs w:val="22"/>
        </w:rPr>
        <w:t xml:space="preserve">A01 </w:t>
      </w:r>
      <w:r>
        <w:rPr>
          <w:rFonts w:hint="default" w:ascii="Calibri" w:hAnsi="Calibri" w:eastAsia="Calibri" w:cs="Calibri"/>
          <w:b/>
          <w:bCs/>
          <w:color w:val="3B6FC9"/>
          <w:sz w:val="22"/>
          <w:szCs w:val="22"/>
          <w:lang w:val="en-US"/>
        </w:rPr>
        <w:t>-</w:t>
      </w:r>
      <w:r>
        <w:rPr>
          <w:rFonts w:ascii="Calibri" w:hAnsi="Calibri" w:eastAsia="Calibri" w:cs="Calibri"/>
          <w:b/>
          <w:bCs/>
          <w:color w:val="3B6FC9"/>
          <w:sz w:val="22"/>
          <w:szCs w:val="22"/>
        </w:rPr>
        <w:t xml:space="preserve"> Broken Access Control</w:t>
      </w:r>
    </w:p>
    <w:tbl>
      <w:tblPr>
        <w:tblStyle w:val="9"/>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2029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80" w:type="dxa"/>
            <w:shd w:val="clear" w:color="auto" w:fill="F4F4F4"/>
            <w:tcMar>
              <w:top w:w="120" w:type="dxa"/>
              <w:left w:w="160" w:type="dxa"/>
              <w:bottom w:w="120" w:type="dxa"/>
              <w:right w:w="160" w:type="dxa"/>
            </w:tcMar>
          </w:tcPr>
          <w:p w14:paraId="46EF6F5D">
            <w:pPr>
              <w:rPr>
                <w:sz w:val="24"/>
                <w:szCs w:val="28"/>
              </w:rPr>
            </w:pPr>
            <w:r>
              <w:rPr>
                <w:rFonts w:ascii="Calibri" w:hAnsi="Calibri" w:eastAsia="Calibri" w:cs="Calibri"/>
                <w:b/>
                <w:bCs/>
                <w:color w:val="6B6B6B"/>
                <w:sz w:val="21"/>
                <w:szCs w:val="21"/>
              </w:rPr>
              <w:t xml:space="preserve">PAYLOAD  </w:t>
            </w:r>
            <w:r>
              <w:rPr>
                <w:rFonts w:ascii="Consolas" w:hAnsi="Consolas" w:eastAsia="Consolas" w:cs="Consolas"/>
                <w:color w:val="1A1A1A"/>
                <w:sz w:val="24"/>
                <w:szCs w:val="24"/>
              </w:rPr>
              <w:t>Navigating directly to the hidden path /administrator-panel</w:t>
            </w:r>
          </w:p>
        </w:tc>
      </w:tr>
    </w:tbl>
    <w:p w14:paraId="02F9FD33">
      <w:pPr>
        <w:spacing w:after="40"/>
        <w:rPr>
          <w:sz w:val="24"/>
          <w:szCs w:val="28"/>
        </w:rPr>
      </w:pPr>
    </w:p>
    <w:p w14:paraId="3A7B1DE8">
      <w:pPr>
        <w:pBdr>
          <w:top w:val="single" w:color="D9D9D9" w:sz="4" w:space="4"/>
          <w:left w:val="single" w:color="D9D9D9" w:sz="4" w:space="4"/>
          <w:bottom w:val="single" w:color="D9D9D9" w:sz="4" w:space="4"/>
          <w:right w:val="single" w:color="D9D9D9" w:sz="4" w:space="4"/>
        </w:pBdr>
        <w:spacing w:before="160" w:after="60"/>
        <w:jc w:val="center"/>
        <w:rPr>
          <w:sz w:val="24"/>
          <w:szCs w:val="28"/>
        </w:rPr>
      </w:pPr>
      <w:r>
        <w:rPr>
          <w:sz w:val="24"/>
          <w:szCs w:val="28"/>
        </w:rPr>
        <w:drawing>
          <wp:inline distT="0" distB="0" distL="0" distR="0">
            <wp:extent cx="4381500" cy="1985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4381500" cy="1985295"/>
                    </a:xfrm>
                    <a:prstGeom prst="rect">
                      <a:avLst/>
                    </a:prstGeom>
                  </pic:spPr>
                </pic:pic>
              </a:graphicData>
            </a:graphic>
          </wp:inline>
        </w:drawing>
      </w:r>
    </w:p>
    <w:p w14:paraId="274B2246">
      <w:pPr>
        <w:spacing w:after="220"/>
        <w:jc w:val="center"/>
        <w:rPr>
          <w:sz w:val="24"/>
          <w:szCs w:val="28"/>
        </w:rPr>
      </w:pPr>
      <w:r>
        <w:rPr>
          <w:rFonts w:ascii="Calibri" w:hAnsi="Calibri" w:eastAsia="Calibri" w:cs="Calibri"/>
          <w:i/>
          <w:iCs/>
          <w:color w:val="6B6B6B"/>
          <w:sz w:val="21"/>
          <w:szCs w:val="21"/>
        </w:rPr>
        <w:t xml:space="preserve">Figure 3.1 </w:t>
      </w:r>
      <w:r>
        <w:rPr>
          <w:rFonts w:hint="default" w:ascii="Calibri" w:hAnsi="Calibri" w:eastAsia="Calibri" w:cs="Calibri"/>
          <w:i/>
          <w:iCs/>
          <w:color w:val="6B6B6B"/>
          <w:sz w:val="21"/>
          <w:szCs w:val="21"/>
          <w:lang w:val="en-US"/>
        </w:rPr>
        <w:t>-</w:t>
      </w:r>
      <w:r>
        <w:rPr>
          <w:rFonts w:ascii="Calibri" w:hAnsi="Calibri" w:eastAsia="Calibri" w:cs="Calibri"/>
          <w:i/>
          <w:iCs/>
          <w:color w:val="6B6B6B"/>
          <w:sz w:val="21"/>
          <w:szCs w:val="21"/>
        </w:rPr>
        <w:t xml:space="preserve"> robots.txt discloses the hidden /administrator-panel path.</w:t>
      </w:r>
    </w:p>
    <w:p w14:paraId="3BAFE6BB">
      <w:pPr>
        <w:pBdr>
          <w:top w:val="single" w:color="D9D9D9" w:sz="4" w:space="4"/>
          <w:left w:val="single" w:color="D9D9D9" w:sz="4" w:space="4"/>
          <w:bottom w:val="single" w:color="D9D9D9" w:sz="4" w:space="4"/>
          <w:right w:val="single" w:color="D9D9D9" w:sz="4" w:space="4"/>
        </w:pBdr>
        <w:spacing w:before="160" w:after="60"/>
        <w:jc w:val="center"/>
        <w:rPr>
          <w:sz w:val="24"/>
          <w:szCs w:val="28"/>
        </w:rPr>
      </w:pPr>
      <w:r>
        <w:rPr>
          <w:sz w:val="24"/>
          <w:szCs w:val="28"/>
        </w:rPr>
        <w:drawing>
          <wp:inline distT="0" distB="0" distL="0" distR="0">
            <wp:extent cx="5334000" cy="2790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5334000" cy="2791209"/>
                    </a:xfrm>
                    <a:prstGeom prst="rect">
                      <a:avLst/>
                    </a:prstGeom>
                  </pic:spPr>
                </pic:pic>
              </a:graphicData>
            </a:graphic>
          </wp:inline>
        </w:drawing>
      </w:r>
    </w:p>
    <w:p w14:paraId="3EE73652">
      <w:pPr>
        <w:spacing w:after="220"/>
        <w:jc w:val="center"/>
        <w:rPr>
          <w:rFonts w:ascii="Calibri" w:hAnsi="Calibri" w:eastAsia="Calibri" w:cs="Calibri"/>
          <w:i/>
          <w:iCs/>
          <w:color w:val="6B6B6B"/>
          <w:sz w:val="21"/>
          <w:szCs w:val="21"/>
        </w:rPr>
      </w:pPr>
      <w:r>
        <w:rPr>
          <w:rFonts w:ascii="Calibri" w:hAnsi="Calibri" w:eastAsia="Calibri" w:cs="Calibri"/>
          <w:i/>
          <w:iCs/>
          <w:color w:val="6B6B6B"/>
          <w:sz w:val="21"/>
          <w:szCs w:val="21"/>
        </w:rPr>
        <w:t xml:space="preserve">Figure 3.2 </w:t>
      </w:r>
      <w:r>
        <w:rPr>
          <w:rFonts w:hint="default" w:ascii="Calibri" w:hAnsi="Calibri" w:eastAsia="Calibri" w:cs="Calibri"/>
          <w:i/>
          <w:iCs/>
          <w:color w:val="6B6B6B"/>
          <w:sz w:val="21"/>
          <w:szCs w:val="21"/>
          <w:lang w:val="en-US"/>
        </w:rPr>
        <w:t>-</w:t>
      </w:r>
      <w:r>
        <w:rPr>
          <w:rFonts w:ascii="Calibri" w:hAnsi="Calibri" w:eastAsia="Calibri" w:cs="Calibri"/>
          <w:i/>
          <w:iCs/>
          <w:color w:val="6B6B6B"/>
          <w:sz w:val="21"/>
          <w:szCs w:val="21"/>
        </w:rPr>
        <w:t xml:space="preserve"> Lab solved: admin panel reached directly, user account deleted with no authorization check.</w:t>
      </w:r>
    </w:p>
    <w:p w14:paraId="5C1E317B">
      <w:pPr>
        <w:spacing w:after="220"/>
        <w:jc w:val="center"/>
        <w:rPr>
          <w:rFonts w:ascii="Calibri" w:hAnsi="Calibri" w:eastAsia="Calibri" w:cs="Calibri"/>
          <w:i/>
          <w:iCs/>
          <w:color w:val="6B6B6B"/>
          <w:sz w:val="21"/>
          <w:szCs w:val="21"/>
        </w:rPr>
      </w:pPr>
    </w:p>
    <w:p w14:paraId="0DCB139E">
      <w:pPr>
        <w:spacing w:after="220"/>
        <w:jc w:val="center"/>
        <w:rPr>
          <w:rFonts w:ascii="Calibri" w:hAnsi="Calibri" w:eastAsia="Calibri" w:cs="Calibri"/>
          <w:i/>
          <w:iCs/>
          <w:color w:val="6B6B6B"/>
          <w:sz w:val="21"/>
          <w:szCs w:val="21"/>
        </w:rPr>
      </w:pPr>
    </w:p>
    <w:p w14:paraId="3ADE74BD">
      <w:pPr>
        <w:spacing w:after="220"/>
        <w:jc w:val="center"/>
        <w:rPr>
          <w:rFonts w:ascii="Calibri" w:hAnsi="Calibri" w:eastAsia="Calibri" w:cs="Calibri"/>
          <w:i/>
          <w:iCs/>
          <w:color w:val="6B6B6B"/>
          <w:sz w:val="21"/>
          <w:szCs w:val="21"/>
        </w:rPr>
      </w:pPr>
    </w:p>
    <w:p w14:paraId="3A6118EF">
      <w:pPr>
        <w:spacing w:after="60"/>
        <w:rPr>
          <w:sz w:val="24"/>
          <w:szCs w:val="28"/>
        </w:rPr>
      </w:pPr>
      <w:r>
        <w:rPr>
          <w:rFonts w:ascii="Calibri" w:hAnsi="Calibri" w:eastAsia="Calibri" w:cs="Calibri"/>
          <w:b/>
          <w:bCs/>
          <w:color w:val="1E3A66"/>
          <w:sz w:val="22"/>
          <w:szCs w:val="22"/>
        </w:rPr>
        <w:t>Explanation</w:t>
      </w:r>
    </w:p>
    <w:p w14:paraId="515D0145">
      <w:pPr>
        <w:spacing w:after="180" w:line="300" w:lineRule="auto"/>
        <w:rPr>
          <w:sz w:val="24"/>
          <w:szCs w:val="28"/>
        </w:rPr>
      </w:pPr>
      <w:r>
        <w:rPr>
          <w:rFonts w:ascii="Calibri" w:hAnsi="Calibri" w:eastAsia="Calibri" w:cs="Calibri"/>
          <w:color w:val="1A1A1A"/>
          <w:sz w:val="28"/>
          <w:szCs w:val="28"/>
        </w:rPr>
        <w:t>This vulnerability exists because the application relies entirely on "security by obscurity" by simply hiding the admin panel URL, rather than enforcing actual server-side authorization checks. By reviewing the publicly accessible robots.txt file, an attacker can easily discover the hidden directory. In a real-world scenario, anyone who finds this URL can access high-privileged administrative functions, allowing them to delete user accounts, modify configurations, or completely take over the application.</w:t>
      </w:r>
    </w:p>
    <w:p w14:paraId="3A7256D9">
      <w:pPr>
        <w:spacing w:after="60"/>
        <w:rPr>
          <w:sz w:val="24"/>
          <w:szCs w:val="28"/>
        </w:rPr>
      </w:pPr>
      <w:r>
        <w:rPr>
          <w:rFonts w:ascii="Calibri" w:hAnsi="Calibri" w:eastAsia="Calibri" w:cs="Calibri"/>
          <w:b/>
          <w:bCs/>
          <w:color w:val="1E3A66"/>
          <w:sz w:val="22"/>
          <w:szCs w:val="22"/>
        </w:rPr>
        <w:t>Mitigation</w:t>
      </w:r>
    </w:p>
    <w:p w14:paraId="6ABA62DE">
      <w:pPr>
        <w:spacing w:after="180" w:line="300" w:lineRule="auto"/>
        <w:rPr>
          <w:rFonts w:ascii="Calibri" w:hAnsi="Calibri" w:eastAsia="Calibri" w:cs="Calibri"/>
          <w:color w:val="1A1A1A"/>
          <w:sz w:val="28"/>
          <w:szCs w:val="28"/>
        </w:rPr>
      </w:pPr>
      <w:r>
        <w:rPr>
          <w:rFonts w:ascii="Calibri" w:hAnsi="Calibri" w:eastAsia="Calibri" w:cs="Calibri"/>
          <w:color w:val="1A1A1A"/>
          <w:sz w:val="28"/>
          <w:szCs w:val="28"/>
        </w:rPr>
        <w:t>Implement strict server-side role-based access control (RBAC) on every administrative endpoint, ensuring that every request explicitly validates the user's session and verifies their administrative privileges before executing the requested action.</w:t>
      </w:r>
    </w:p>
    <w:p w14:paraId="3904EC08">
      <w:pPr>
        <w:spacing w:after="180" w:line="300" w:lineRule="auto"/>
        <w:rPr>
          <w:rFonts w:ascii="Calibri" w:hAnsi="Calibri" w:eastAsia="Calibri" w:cs="Calibri"/>
          <w:color w:val="1A1A1A"/>
          <w:sz w:val="28"/>
          <w:szCs w:val="28"/>
        </w:rPr>
      </w:pPr>
    </w:p>
    <w:p w14:paraId="37CC3E29">
      <w:pPr>
        <w:spacing w:after="180" w:line="300" w:lineRule="auto"/>
        <w:rPr>
          <w:rFonts w:ascii="Calibri" w:hAnsi="Calibri" w:eastAsia="Calibri" w:cs="Calibri"/>
          <w:color w:val="1A1A1A"/>
          <w:sz w:val="28"/>
          <w:szCs w:val="28"/>
        </w:rPr>
      </w:pPr>
    </w:p>
    <w:p w14:paraId="2A5F6EFA">
      <w:pPr>
        <w:spacing w:after="180" w:line="300" w:lineRule="auto"/>
        <w:rPr>
          <w:rFonts w:ascii="Calibri" w:hAnsi="Calibri" w:eastAsia="Calibri" w:cs="Calibri"/>
          <w:color w:val="1A1A1A"/>
          <w:sz w:val="28"/>
          <w:szCs w:val="28"/>
        </w:rPr>
      </w:pPr>
    </w:p>
    <w:p w14:paraId="476A079D">
      <w:pPr>
        <w:pStyle w:val="3"/>
        <w:spacing w:before="280" w:after="120"/>
        <w:rPr>
          <w:sz w:val="32"/>
          <w:szCs w:val="32"/>
        </w:rPr>
      </w:pPr>
      <w:r>
        <w:rPr>
          <w:rFonts w:ascii="Calibri" w:hAnsi="Calibri" w:eastAsia="Calibri" w:cs="Calibri"/>
          <w:b/>
          <w:bCs/>
          <w:color w:val="3B6FC9"/>
          <w:sz w:val="32"/>
          <w:szCs w:val="32"/>
        </w:rPr>
        <w:t xml:space="preserve">Lab 4 </w:t>
      </w:r>
      <w:r>
        <w:rPr>
          <w:rFonts w:hint="default" w:ascii="Calibri" w:hAnsi="Calibri" w:eastAsia="Calibri" w:cs="Calibri"/>
          <w:b/>
          <w:bCs/>
          <w:color w:val="3B6FC9"/>
          <w:sz w:val="32"/>
          <w:szCs w:val="32"/>
          <w:lang w:val="en-US"/>
        </w:rPr>
        <w:t>-</w:t>
      </w:r>
      <w:r>
        <w:rPr>
          <w:rFonts w:ascii="Calibri" w:hAnsi="Calibri" w:eastAsia="Calibri" w:cs="Calibri"/>
          <w:b/>
          <w:bCs/>
          <w:color w:val="3B6FC9"/>
          <w:sz w:val="32"/>
          <w:szCs w:val="32"/>
        </w:rPr>
        <w:t xml:space="preserve"> File Path Traversal, Simple Case (Optional Alternative)</w:t>
      </w:r>
    </w:p>
    <w:tbl>
      <w:tblPr>
        <w:tblStyle w:val="9"/>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14A2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80" w:type="dxa"/>
            <w:shd w:val="clear" w:color="auto" w:fill="E9F0FC"/>
            <w:tcMar>
              <w:top w:w="140" w:type="dxa"/>
              <w:left w:w="180" w:type="dxa"/>
              <w:bottom w:w="140" w:type="dxa"/>
              <w:right w:w="180" w:type="dxa"/>
            </w:tcMar>
          </w:tcPr>
          <w:p w14:paraId="30E7AFC1">
            <w:pPr>
              <w:spacing w:after="60"/>
              <w:rPr>
                <w:sz w:val="24"/>
                <w:szCs w:val="28"/>
              </w:rPr>
            </w:pPr>
            <w:r>
              <w:rPr>
                <w:rFonts w:ascii="Calibri" w:hAnsi="Calibri" w:eastAsia="Calibri" w:cs="Calibri"/>
                <w:b/>
                <w:bCs/>
                <w:color w:val="1E3A66"/>
                <w:sz w:val="22"/>
                <w:szCs w:val="22"/>
              </w:rPr>
              <w:t>Reason for Substitution</w:t>
            </w:r>
          </w:p>
          <w:p w14:paraId="0F9A2C0E">
            <w:pPr>
              <w:rPr>
                <w:sz w:val="24"/>
                <w:szCs w:val="28"/>
              </w:rPr>
            </w:pPr>
            <w:r>
              <w:rPr>
                <w:rFonts w:ascii="Calibri" w:hAnsi="Calibri" w:eastAsia="Calibri" w:cs="Calibri"/>
                <w:i/>
                <w:iCs/>
                <w:color w:val="1A1A1A"/>
                <w:sz w:val="22"/>
                <w:szCs w:val="22"/>
              </w:rPr>
              <w:t>The originally assigned CSRF vulnerability lab required the automated "Generate CSRF PoC" tool, which is exclusive to Burp Suite Professional. Following instructor guidance, this optional bonus lab was substituted so it could be completed using Burp Suite Community Edition.</w:t>
            </w:r>
          </w:p>
        </w:tc>
      </w:tr>
    </w:tbl>
    <w:p w14:paraId="3D6B1AA3">
      <w:pPr>
        <w:spacing w:after="120"/>
        <w:rPr>
          <w:sz w:val="24"/>
          <w:szCs w:val="28"/>
        </w:rPr>
      </w:pPr>
    </w:p>
    <w:p w14:paraId="56099D37">
      <w:pPr>
        <w:spacing w:after="160"/>
        <w:rPr>
          <w:sz w:val="24"/>
          <w:szCs w:val="28"/>
        </w:rPr>
      </w:pPr>
      <w:r>
        <w:rPr>
          <w:rFonts w:ascii="Calibri" w:hAnsi="Calibri" w:eastAsia="Calibri" w:cs="Calibri"/>
          <w:b/>
          <w:bCs/>
          <w:color w:val="6B6B6B"/>
          <w:sz w:val="21"/>
          <w:szCs w:val="21"/>
        </w:rPr>
        <w:t xml:space="preserve">OWASP CATEGORY  </w:t>
      </w:r>
      <w:r>
        <w:rPr>
          <w:rFonts w:ascii="Calibri" w:hAnsi="Calibri" w:eastAsia="Calibri" w:cs="Calibri"/>
          <w:b/>
          <w:bCs/>
          <w:color w:val="3B6FC9"/>
          <w:sz w:val="22"/>
          <w:szCs w:val="22"/>
        </w:rPr>
        <w:t xml:space="preserve">A01 </w:t>
      </w:r>
      <w:r>
        <w:rPr>
          <w:rFonts w:hint="default" w:ascii="Calibri" w:hAnsi="Calibri" w:eastAsia="Calibri" w:cs="Calibri"/>
          <w:b/>
          <w:bCs/>
          <w:color w:val="3B6FC9"/>
          <w:sz w:val="22"/>
          <w:szCs w:val="22"/>
          <w:lang w:val="en-US"/>
        </w:rPr>
        <w:t>-</w:t>
      </w:r>
      <w:r>
        <w:rPr>
          <w:rFonts w:ascii="Calibri" w:hAnsi="Calibri" w:eastAsia="Calibri" w:cs="Calibri"/>
          <w:b/>
          <w:bCs/>
          <w:color w:val="3B6FC9"/>
          <w:sz w:val="22"/>
          <w:szCs w:val="22"/>
        </w:rPr>
        <w:t xml:space="preserve"> Broken Access Control</w:t>
      </w:r>
    </w:p>
    <w:tbl>
      <w:tblPr>
        <w:tblStyle w:val="9"/>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145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80" w:type="dxa"/>
            <w:shd w:val="clear" w:color="auto" w:fill="F4F4F4"/>
            <w:tcMar>
              <w:top w:w="120" w:type="dxa"/>
              <w:left w:w="160" w:type="dxa"/>
              <w:bottom w:w="120" w:type="dxa"/>
              <w:right w:w="160" w:type="dxa"/>
            </w:tcMar>
          </w:tcPr>
          <w:p w14:paraId="09461D95">
            <w:pPr>
              <w:rPr>
                <w:sz w:val="24"/>
                <w:szCs w:val="28"/>
              </w:rPr>
            </w:pPr>
            <w:r>
              <w:rPr>
                <w:rFonts w:ascii="Calibri" w:hAnsi="Calibri" w:eastAsia="Calibri" w:cs="Calibri"/>
                <w:b/>
                <w:bCs/>
                <w:color w:val="6B6B6B"/>
                <w:sz w:val="21"/>
                <w:szCs w:val="21"/>
              </w:rPr>
              <w:t xml:space="preserve">PAYLOAD  </w:t>
            </w:r>
            <w:r>
              <w:rPr>
                <w:rFonts w:ascii="Consolas" w:hAnsi="Consolas" w:eastAsia="Consolas" w:cs="Consolas"/>
                <w:color w:val="1A1A1A"/>
                <w:sz w:val="24"/>
                <w:szCs w:val="24"/>
              </w:rPr>
              <w:t>../../../etc/passwd</w:t>
            </w:r>
          </w:p>
        </w:tc>
      </w:tr>
    </w:tbl>
    <w:p w14:paraId="053E0703">
      <w:pPr>
        <w:spacing w:after="40"/>
        <w:rPr>
          <w:sz w:val="24"/>
          <w:szCs w:val="28"/>
        </w:rPr>
      </w:pPr>
    </w:p>
    <w:p w14:paraId="6B0C6369">
      <w:pPr>
        <w:pBdr>
          <w:top w:val="single" w:color="D9D9D9" w:sz="4" w:space="4"/>
          <w:left w:val="single" w:color="D9D9D9" w:sz="4" w:space="4"/>
          <w:bottom w:val="single" w:color="D9D9D9" w:sz="4" w:space="4"/>
          <w:right w:val="single" w:color="D9D9D9" w:sz="4" w:space="4"/>
        </w:pBdr>
        <w:spacing w:before="160" w:after="60"/>
        <w:jc w:val="center"/>
        <w:rPr>
          <w:sz w:val="24"/>
          <w:szCs w:val="28"/>
        </w:rPr>
      </w:pPr>
      <w:r>
        <w:rPr>
          <w:sz w:val="24"/>
          <w:szCs w:val="28"/>
        </w:rPr>
        <w:drawing>
          <wp:inline distT="0" distB="0" distL="0" distR="0">
            <wp:extent cx="6416675" cy="2769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r="18445"/>
                    <a:stretch>
                      <a:fillRect/>
                    </a:stretch>
                  </pic:blipFill>
                  <pic:spPr>
                    <a:xfrm>
                      <a:off x="0" y="0"/>
                      <a:ext cx="6416675" cy="2769235"/>
                    </a:xfrm>
                    <a:prstGeom prst="rect">
                      <a:avLst/>
                    </a:prstGeom>
                  </pic:spPr>
                </pic:pic>
              </a:graphicData>
            </a:graphic>
          </wp:inline>
        </w:drawing>
      </w:r>
    </w:p>
    <w:p w14:paraId="508F8D43">
      <w:pPr>
        <w:spacing w:after="220"/>
        <w:jc w:val="center"/>
        <w:rPr>
          <w:sz w:val="24"/>
          <w:szCs w:val="28"/>
        </w:rPr>
      </w:pPr>
      <w:r>
        <w:rPr>
          <w:rFonts w:ascii="Calibri" w:hAnsi="Calibri" w:eastAsia="Calibri" w:cs="Calibri"/>
          <w:i/>
          <w:iCs/>
          <w:color w:val="6B6B6B"/>
          <w:sz w:val="21"/>
          <w:szCs w:val="21"/>
        </w:rPr>
        <w:t xml:space="preserve">Figure 4.1 </w:t>
      </w:r>
      <w:r>
        <w:rPr>
          <w:rFonts w:hint="default" w:ascii="Calibri" w:hAnsi="Calibri" w:eastAsia="Calibri" w:cs="Calibri"/>
          <w:i/>
          <w:iCs/>
          <w:color w:val="6B6B6B"/>
          <w:sz w:val="21"/>
          <w:szCs w:val="21"/>
          <w:lang w:val="en-US"/>
        </w:rPr>
        <w:t>-</w:t>
      </w:r>
      <w:r>
        <w:rPr>
          <w:rFonts w:ascii="Calibri" w:hAnsi="Calibri" w:eastAsia="Calibri" w:cs="Calibri"/>
          <w:i/>
          <w:iCs/>
          <w:color w:val="6B6B6B"/>
          <w:sz w:val="21"/>
          <w:szCs w:val="21"/>
        </w:rPr>
        <w:t xml:space="preserve"> Burp Suite request/response: filename=../../../etc/passwd returns the server's /etc/passwd file.</w:t>
      </w:r>
    </w:p>
    <w:p w14:paraId="4EEE34F5">
      <w:pPr>
        <w:pBdr>
          <w:top w:val="single" w:color="D9D9D9" w:sz="4" w:space="4"/>
          <w:left w:val="single" w:color="D9D9D9" w:sz="4" w:space="4"/>
          <w:bottom w:val="single" w:color="D9D9D9" w:sz="4" w:space="4"/>
          <w:right w:val="single" w:color="D9D9D9" w:sz="4" w:space="4"/>
        </w:pBdr>
        <w:spacing w:before="160" w:after="60"/>
        <w:jc w:val="center"/>
        <w:rPr>
          <w:sz w:val="24"/>
          <w:szCs w:val="28"/>
        </w:rPr>
      </w:pPr>
      <w:r>
        <w:rPr>
          <w:sz w:val="24"/>
          <w:szCs w:val="28"/>
        </w:rPr>
        <w:drawing>
          <wp:inline distT="0" distB="0" distL="0" distR="0">
            <wp:extent cx="4572000" cy="23171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4572000" cy="2317381"/>
                    </a:xfrm>
                    <a:prstGeom prst="rect">
                      <a:avLst/>
                    </a:prstGeom>
                  </pic:spPr>
                </pic:pic>
              </a:graphicData>
            </a:graphic>
          </wp:inline>
        </w:drawing>
      </w:r>
    </w:p>
    <w:p w14:paraId="21C333A4">
      <w:pPr>
        <w:spacing w:after="220"/>
        <w:jc w:val="center"/>
        <w:rPr>
          <w:rFonts w:ascii="Calibri" w:hAnsi="Calibri" w:eastAsia="Calibri" w:cs="Calibri"/>
          <w:i/>
          <w:iCs/>
          <w:color w:val="6B6B6B"/>
          <w:sz w:val="21"/>
          <w:szCs w:val="21"/>
        </w:rPr>
      </w:pPr>
      <w:r>
        <w:rPr>
          <w:rFonts w:ascii="Calibri" w:hAnsi="Calibri" w:eastAsia="Calibri" w:cs="Calibri"/>
          <w:i/>
          <w:iCs/>
          <w:color w:val="6B6B6B"/>
          <w:sz w:val="21"/>
          <w:szCs w:val="21"/>
        </w:rPr>
        <w:t xml:space="preserve">Figure 4.2 </w:t>
      </w:r>
      <w:r>
        <w:rPr>
          <w:rFonts w:hint="default" w:ascii="Calibri" w:hAnsi="Calibri" w:eastAsia="Calibri" w:cs="Calibri"/>
          <w:i/>
          <w:iCs/>
          <w:color w:val="6B6B6B"/>
          <w:sz w:val="21"/>
          <w:szCs w:val="21"/>
          <w:lang w:val="en-US"/>
        </w:rPr>
        <w:t>-</w:t>
      </w:r>
      <w:r>
        <w:rPr>
          <w:rFonts w:ascii="Calibri" w:hAnsi="Calibri" w:eastAsia="Calibri" w:cs="Calibri"/>
          <w:i/>
          <w:iCs/>
          <w:color w:val="6B6B6B"/>
          <w:sz w:val="21"/>
          <w:szCs w:val="21"/>
        </w:rPr>
        <w:t xml:space="preserve"> Lab solved: file path traversal confirmed.</w:t>
      </w:r>
    </w:p>
    <w:p w14:paraId="3BBDFBBF">
      <w:pPr>
        <w:spacing w:after="220"/>
        <w:jc w:val="center"/>
        <w:rPr>
          <w:rFonts w:ascii="Calibri" w:hAnsi="Calibri" w:eastAsia="Calibri" w:cs="Calibri"/>
          <w:i/>
          <w:iCs/>
          <w:color w:val="6B6B6B"/>
          <w:sz w:val="21"/>
          <w:szCs w:val="21"/>
        </w:rPr>
      </w:pPr>
    </w:p>
    <w:p w14:paraId="40823A54">
      <w:pPr>
        <w:spacing w:after="60"/>
        <w:rPr>
          <w:sz w:val="24"/>
          <w:szCs w:val="28"/>
        </w:rPr>
      </w:pPr>
      <w:r>
        <w:rPr>
          <w:rFonts w:ascii="Calibri" w:hAnsi="Calibri" w:eastAsia="Calibri" w:cs="Calibri"/>
          <w:b/>
          <w:bCs/>
          <w:color w:val="1E3A66"/>
          <w:sz w:val="22"/>
          <w:szCs w:val="22"/>
        </w:rPr>
        <w:t>Explanation</w:t>
      </w:r>
    </w:p>
    <w:p w14:paraId="2AB5D2B1">
      <w:pPr>
        <w:spacing w:after="180" w:line="300" w:lineRule="auto"/>
        <w:rPr>
          <w:sz w:val="24"/>
          <w:szCs w:val="28"/>
        </w:rPr>
      </w:pPr>
      <w:r>
        <w:rPr>
          <w:rFonts w:ascii="Calibri" w:hAnsi="Calibri" w:eastAsia="Calibri" w:cs="Calibri"/>
          <w:color w:val="1A1A1A"/>
          <w:sz w:val="28"/>
          <w:szCs w:val="28"/>
        </w:rPr>
        <w:t>The application processes the filename parameter to fetch image files but fails to strip or sanitize directory traversal sequences (../). By injecting these sequences, an attacker forces the backend server to navigate up the directory tree and retrieve arbitrary files from the file system. In a real-world scenario, this flaw allows attackers to steal highly sensitive operating system files, application source code, or configuration files containing hardcoded database credentials.</w:t>
      </w:r>
    </w:p>
    <w:p w14:paraId="2BED3ECD">
      <w:pPr>
        <w:spacing w:after="60"/>
        <w:rPr>
          <w:sz w:val="24"/>
          <w:szCs w:val="28"/>
        </w:rPr>
      </w:pPr>
      <w:r>
        <w:rPr>
          <w:rFonts w:ascii="Calibri" w:hAnsi="Calibri" w:eastAsia="Calibri" w:cs="Calibri"/>
          <w:b/>
          <w:bCs/>
          <w:color w:val="1E3A66"/>
          <w:sz w:val="22"/>
          <w:szCs w:val="22"/>
        </w:rPr>
        <w:t>Mitigation</w:t>
      </w:r>
    </w:p>
    <w:p w14:paraId="06742724">
      <w:pPr>
        <w:spacing w:after="180" w:line="300" w:lineRule="auto"/>
        <w:rPr>
          <w:sz w:val="24"/>
          <w:szCs w:val="28"/>
        </w:rPr>
      </w:pPr>
      <w:r>
        <w:rPr>
          <w:rFonts w:ascii="Calibri" w:hAnsi="Calibri" w:eastAsia="Calibri" w:cs="Calibri"/>
          <w:color w:val="1A1A1A"/>
          <w:sz w:val="28"/>
          <w:szCs w:val="28"/>
        </w:rPr>
        <w:t>Validate all user-supplied filenames against a strict allowlist of permitted files. Additionally, resolve the absolute path of the requested file using built-in file system APIs and verify that it resides strictly within the intended base directory before granting read access.</w:t>
      </w:r>
    </w:p>
    <w:p w14:paraId="1355E420">
      <w:pPr>
        <w:pStyle w:val="2"/>
        <w:pBdr>
          <w:bottom w:val="single" w:color="3B6FC9" w:sz="6" w:space="4"/>
        </w:pBdr>
        <w:spacing w:before="360" w:after="160"/>
        <w:rPr>
          <w:sz w:val="40"/>
          <w:szCs w:val="40"/>
        </w:rPr>
      </w:pPr>
      <w:r>
        <w:rPr>
          <w:rFonts w:ascii="Calibri" w:hAnsi="Calibri" w:eastAsia="Calibri" w:cs="Calibri"/>
          <w:b/>
          <w:bCs/>
          <w:color w:val="1E3A66"/>
          <w:sz w:val="36"/>
          <w:szCs w:val="36"/>
        </w:rPr>
        <w:t>4. Summary Table</w:t>
      </w:r>
    </w:p>
    <w:p w14:paraId="015836FA">
      <w:pPr>
        <w:spacing w:after="180" w:line="300" w:lineRule="auto"/>
        <w:rPr>
          <w:sz w:val="24"/>
          <w:szCs w:val="28"/>
        </w:rPr>
      </w:pPr>
      <w:r>
        <w:rPr>
          <w:rFonts w:ascii="Calibri" w:hAnsi="Calibri" w:eastAsia="Calibri" w:cs="Calibri"/>
          <w:color w:val="1A1A1A"/>
          <w:sz w:val="28"/>
          <w:szCs w:val="28"/>
        </w:rPr>
        <w:t>The table below maps each completed lab to its corresponding OWASP Top 10 category.</w:t>
      </w:r>
    </w:p>
    <w:tbl>
      <w:tblPr>
        <w:tblStyle w:val="9"/>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280"/>
        <w:gridCol w:w="3000"/>
      </w:tblGrid>
      <w:tr w14:paraId="2807D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00" w:type="dxa"/>
            <w:shd w:val="clear" w:color="auto" w:fill="1E3A66"/>
            <w:tcMar>
              <w:top w:w="100" w:type="dxa"/>
              <w:left w:w="120" w:type="dxa"/>
              <w:bottom w:w="100" w:type="dxa"/>
              <w:right w:w="120" w:type="dxa"/>
            </w:tcMar>
            <w:vAlign w:val="center"/>
          </w:tcPr>
          <w:p w14:paraId="7484B794">
            <w:pPr>
              <w:rPr>
                <w:sz w:val="24"/>
                <w:szCs w:val="28"/>
              </w:rPr>
            </w:pPr>
            <w:r>
              <w:rPr>
                <w:rFonts w:ascii="Calibri" w:hAnsi="Calibri" w:eastAsia="Calibri" w:cs="Calibri"/>
                <w:b/>
                <w:bCs/>
                <w:color w:val="FFFFFF"/>
                <w:sz w:val="22"/>
                <w:szCs w:val="22"/>
              </w:rPr>
              <w:t>#</w:t>
            </w:r>
          </w:p>
        </w:tc>
        <w:tc>
          <w:tcPr>
            <w:tcW w:w="6280" w:type="dxa"/>
            <w:shd w:val="clear" w:color="auto" w:fill="1E3A66"/>
            <w:tcMar>
              <w:top w:w="100" w:type="dxa"/>
              <w:left w:w="120" w:type="dxa"/>
              <w:bottom w:w="100" w:type="dxa"/>
              <w:right w:w="120" w:type="dxa"/>
            </w:tcMar>
            <w:vAlign w:val="center"/>
          </w:tcPr>
          <w:p w14:paraId="108E0084">
            <w:pPr>
              <w:rPr>
                <w:sz w:val="24"/>
                <w:szCs w:val="28"/>
              </w:rPr>
            </w:pPr>
            <w:r>
              <w:rPr>
                <w:rFonts w:ascii="Calibri" w:hAnsi="Calibri" w:eastAsia="Calibri" w:cs="Calibri"/>
                <w:b/>
                <w:bCs/>
                <w:color w:val="FFFFFF"/>
                <w:sz w:val="22"/>
                <w:szCs w:val="22"/>
              </w:rPr>
              <w:t>Lab</w:t>
            </w:r>
          </w:p>
        </w:tc>
        <w:tc>
          <w:tcPr>
            <w:tcW w:w="3000" w:type="dxa"/>
            <w:shd w:val="clear" w:color="auto" w:fill="1E3A66"/>
            <w:tcMar>
              <w:top w:w="100" w:type="dxa"/>
              <w:left w:w="120" w:type="dxa"/>
              <w:bottom w:w="100" w:type="dxa"/>
              <w:right w:w="120" w:type="dxa"/>
            </w:tcMar>
            <w:vAlign w:val="center"/>
          </w:tcPr>
          <w:p w14:paraId="6A9436F1">
            <w:pPr>
              <w:rPr>
                <w:sz w:val="24"/>
                <w:szCs w:val="28"/>
              </w:rPr>
            </w:pPr>
            <w:r>
              <w:rPr>
                <w:rFonts w:ascii="Calibri" w:hAnsi="Calibri" w:eastAsia="Calibri" w:cs="Calibri"/>
                <w:b/>
                <w:bCs/>
                <w:color w:val="FFFFFF"/>
                <w:sz w:val="22"/>
                <w:szCs w:val="22"/>
              </w:rPr>
              <w:t>OWASP Top 10 Category</w:t>
            </w:r>
          </w:p>
        </w:tc>
      </w:tr>
      <w:tr w14:paraId="3F490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shd w:val="clear" w:color="auto" w:fill="FFFFFF"/>
            <w:tcMar>
              <w:top w:w="100" w:type="dxa"/>
              <w:left w:w="120" w:type="dxa"/>
              <w:bottom w:w="100" w:type="dxa"/>
              <w:right w:w="120" w:type="dxa"/>
            </w:tcMar>
            <w:vAlign w:val="center"/>
          </w:tcPr>
          <w:p w14:paraId="1169A0B6">
            <w:pPr>
              <w:rPr>
                <w:sz w:val="24"/>
                <w:szCs w:val="28"/>
              </w:rPr>
            </w:pPr>
            <w:r>
              <w:rPr>
                <w:rFonts w:ascii="Calibri" w:hAnsi="Calibri" w:eastAsia="Calibri" w:cs="Calibri"/>
                <w:color w:val="1A1A1A"/>
                <w:sz w:val="22"/>
                <w:szCs w:val="22"/>
              </w:rPr>
              <w:t>1</w:t>
            </w:r>
          </w:p>
        </w:tc>
        <w:tc>
          <w:tcPr>
            <w:tcW w:w="6280" w:type="dxa"/>
            <w:shd w:val="clear" w:color="auto" w:fill="FFFFFF"/>
            <w:tcMar>
              <w:top w:w="100" w:type="dxa"/>
              <w:left w:w="120" w:type="dxa"/>
              <w:bottom w:w="100" w:type="dxa"/>
              <w:right w:w="120" w:type="dxa"/>
            </w:tcMar>
            <w:vAlign w:val="center"/>
          </w:tcPr>
          <w:p w14:paraId="41E36BAB">
            <w:pPr>
              <w:rPr>
                <w:sz w:val="24"/>
                <w:szCs w:val="28"/>
              </w:rPr>
            </w:pPr>
            <w:r>
              <w:rPr>
                <w:rFonts w:ascii="Calibri" w:hAnsi="Calibri" w:eastAsia="Calibri" w:cs="Calibri"/>
                <w:color w:val="1A1A1A"/>
                <w:sz w:val="22"/>
                <w:szCs w:val="22"/>
              </w:rPr>
              <w:t>SQL injection vulnerability in WHERE clause allowing retrieval of hidden data</w:t>
            </w:r>
          </w:p>
        </w:tc>
        <w:tc>
          <w:tcPr>
            <w:tcW w:w="3000" w:type="dxa"/>
            <w:shd w:val="clear" w:color="auto" w:fill="FFFFFF"/>
            <w:tcMar>
              <w:top w:w="100" w:type="dxa"/>
              <w:left w:w="120" w:type="dxa"/>
              <w:bottom w:w="100" w:type="dxa"/>
              <w:right w:w="120" w:type="dxa"/>
            </w:tcMar>
            <w:vAlign w:val="center"/>
          </w:tcPr>
          <w:p w14:paraId="4C0B61F4">
            <w:pPr>
              <w:rPr>
                <w:sz w:val="24"/>
                <w:szCs w:val="28"/>
              </w:rPr>
            </w:pPr>
            <w:r>
              <w:rPr>
                <w:rFonts w:ascii="Calibri" w:hAnsi="Calibri" w:eastAsia="Calibri" w:cs="Calibri"/>
                <w:color w:val="1A1A1A"/>
                <w:sz w:val="22"/>
                <w:szCs w:val="22"/>
              </w:rPr>
              <w:t xml:space="preserve">A03 </w:t>
            </w:r>
            <w:r>
              <w:rPr>
                <w:rFonts w:hint="default" w:ascii="Calibri" w:hAnsi="Calibri" w:eastAsia="Calibri" w:cs="Calibri"/>
                <w:color w:val="1A1A1A"/>
                <w:sz w:val="22"/>
                <w:szCs w:val="22"/>
                <w:lang w:val="en-US"/>
              </w:rPr>
              <w:t>-</w:t>
            </w:r>
            <w:r>
              <w:rPr>
                <w:rFonts w:ascii="Calibri" w:hAnsi="Calibri" w:eastAsia="Calibri" w:cs="Calibri"/>
                <w:color w:val="1A1A1A"/>
                <w:sz w:val="22"/>
                <w:szCs w:val="22"/>
              </w:rPr>
              <w:t xml:space="preserve"> Injection</w:t>
            </w:r>
          </w:p>
        </w:tc>
      </w:tr>
      <w:tr w14:paraId="03345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shd w:val="clear" w:color="auto" w:fill="F6F9FE"/>
            <w:tcMar>
              <w:top w:w="100" w:type="dxa"/>
              <w:left w:w="120" w:type="dxa"/>
              <w:bottom w:w="100" w:type="dxa"/>
              <w:right w:w="120" w:type="dxa"/>
            </w:tcMar>
            <w:vAlign w:val="center"/>
          </w:tcPr>
          <w:p w14:paraId="2CD01E8E">
            <w:pPr>
              <w:rPr>
                <w:sz w:val="24"/>
                <w:szCs w:val="28"/>
              </w:rPr>
            </w:pPr>
            <w:r>
              <w:rPr>
                <w:rFonts w:ascii="Calibri" w:hAnsi="Calibri" w:eastAsia="Calibri" w:cs="Calibri"/>
                <w:color w:val="1A1A1A"/>
                <w:sz w:val="22"/>
                <w:szCs w:val="22"/>
              </w:rPr>
              <w:t>2</w:t>
            </w:r>
          </w:p>
        </w:tc>
        <w:tc>
          <w:tcPr>
            <w:tcW w:w="6280" w:type="dxa"/>
            <w:shd w:val="clear" w:color="auto" w:fill="F6F9FE"/>
            <w:tcMar>
              <w:top w:w="100" w:type="dxa"/>
              <w:left w:w="120" w:type="dxa"/>
              <w:bottom w:w="100" w:type="dxa"/>
              <w:right w:w="120" w:type="dxa"/>
            </w:tcMar>
            <w:vAlign w:val="center"/>
          </w:tcPr>
          <w:p w14:paraId="0F91CEF4">
            <w:pPr>
              <w:rPr>
                <w:sz w:val="24"/>
                <w:szCs w:val="28"/>
              </w:rPr>
            </w:pPr>
            <w:r>
              <w:rPr>
                <w:rFonts w:ascii="Calibri" w:hAnsi="Calibri" w:eastAsia="Calibri" w:cs="Calibri"/>
                <w:color w:val="1A1A1A"/>
                <w:sz w:val="22"/>
                <w:szCs w:val="22"/>
              </w:rPr>
              <w:t>Cross-site scripting (XSS): reflected XSS into HTML context with nothing encoded</w:t>
            </w:r>
          </w:p>
        </w:tc>
        <w:tc>
          <w:tcPr>
            <w:tcW w:w="3000" w:type="dxa"/>
            <w:shd w:val="clear" w:color="auto" w:fill="F6F9FE"/>
            <w:tcMar>
              <w:top w:w="100" w:type="dxa"/>
              <w:left w:w="120" w:type="dxa"/>
              <w:bottom w:w="100" w:type="dxa"/>
              <w:right w:w="120" w:type="dxa"/>
            </w:tcMar>
            <w:vAlign w:val="center"/>
          </w:tcPr>
          <w:p w14:paraId="30469925">
            <w:pPr>
              <w:rPr>
                <w:sz w:val="24"/>
                <w:szCs w:val="28"/>
              </w:rPr>
            </w:pPr>
            <w:r>
              <w:rPr>
                <w:rFonts w:ascii="Calibri" w:hAnsi="Calibri" w:eastAsia="Calibri" w:cs="Calibri"/>
                <w:color w:val="1A1A1A"/>
                <w:sz w:val="22"/>
                <w:szCs w:val="22"/>
              </w:rPr>
              <w:t xml:space="preserve">A03 </w:t>
            </w:r>
            <w:r>
              <w:rPr>
                <w:rFonts w:hint="default" w:ascii="Calibri" w:hAnsi="Calibri" w:eastAsia="Calibri" w:cs="Calibri"/>
                <w:color w:val="1A1A1A"/>
                <w:sz w:val="22"/>
                <w:szCs w:val="22"/>
                <w:lang w:val="en-US"/>
              </w:rPr>
              <w:t>-</w:t>
            </w:r>
            <w:r>
              <w:rPr>
                <w:rFonts w:ascii="Calibri" w:hAnsi="Calibri" w:eastAsia="Calibri" w:cs="Calibri"/>
                <w:color w:val="1A1A1A"/>
                <w:sz w:val="22"/>
                <w:szCs w:val="22"/>
              </w:rPr>
              <w:t xml:space="preserve"> Injection</w:t>
            </w:r>
          </w:p>
        </w:tc>
      </w:tr>
      <w:tr w14:paraId="6EAC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shd w:val="clear" w:color="auto" w:fill="FFFFFF"/>
            <w:tcMar>
              <w:top w:w="100" w:type="dxa"/>
              <w:left w:w="120" w:type="dxa"/>
              <w:bottom w:w="100" w:type="dxa"/>
              <w:right w:w="120" w:type="dxa"/>
            </w:tcMar>
            <w:vAlign w:val="center"/>
          </w:tcPr>
          <w:p w14:paraId="64CDCFE7">
            <w:pPr>
              <w:rPr>
                <w:sz w:val="24"/>
                <w:szCs w:val="28"/>
              </w:rPr>
            </w:pPr>
            <w:r>
              <w:rPr>
                <w:rFonts w:ascii="Calibri" w:hAnsi="Calibri" w:eastAsia="Calibri" w:cs="Calibri"/>
                <w:color w:val="1A1A1A"/>
                <w:sz w:val="22"/>
                <w:szCs w:val="22"/>
              </w:rPr>
              <w:t>3</w:t>
            </w:r>
          </w:p>
        </w:tc>
        <w:tc>
          <w:tcPr>
            <w:tcW w:w="6280" w:type="dxa"/>
            <w:shd w:val="clear" w:color="auto" w:fill="FFFFFF"/>
            <w:tcMar>
              <w:top w:w="100" w:type="dxa"/>
              <w:left w:w="120" w:type="dxa"/>
              <w:bottom w:w="100" w:type="dxa"/>
              <w:right w:w="120" w:type="dxa"/>
            </w:tcMar>
            <w:vAlign w:val="center"/>
          </w:tcPr>
          <w:p w14:paraId="25856D17">
            <w:pPr>
              <w:rPr>
                <w:sz w:val="24"/>
                <w:szCs w:val="28"/>
              </w:rPr>
            </w:pPr>
            <w:r>
              <w:rPr>
                <w:rFonts w:ascii="Calibri" w:hAnsi="Calibri" w:eastAsia="Calibri" w:cs="Calibri"/>
                <w:color w:val="1A1A1A"/>
                <w:sz w:val="22"/>
                <w:szCs w:val="22"/>
              </w:rPr>
              <w:t>Unprotected admin functionality</w:t>
            </w:r>
          </w:p>
        </w:tc>
        <w:tc>
          <w:tcPr>
            <w:tcW w:w="3000" w:type="dxa"/>
            <w:shd w:val="clear" w:color="auto" w:fill="FFFFFF"/>
            <w:tcMar>
              <w:top w:w="100" w:type="dxa"/>
              <w:left w:w="120" w:type="dxa"/>
              <w:bottom w:w="100" w:type="dxa"/>
              <w:right w:w="120" w:type="dxa"/>
            </w:tcMar>
            <w:vAlign w:val="center"/>
          </w:tcPr>
          <w:p w14:paraId="3D4643E9">
            <w:pPr>
              <w:rPr>
                <w:sz w:val="24"/>
                <w:szCs w:val="28"/>
              </w:rPr>
            </w:pPr>
            <w:r>
              <w:rPr>
                <w:rFonts w:ascii="Calibri" w:hAnsi="Calibri" w:eastAsia="Calibri" w:cs="Calibri"/>
                <w:color w:val="1A1A1A"/>
                <w:sz w:val="22"/>
                <w:szCs w:val="22"/>
              </w:rPr>
              <w:t xml:space="preserve">A01 </w:t>
            </w:r>
            <w:r>
              <w:rPr>
                <w:rFonts w:hint="default" w:ascii="Calibri" w:hAnsi="Calibri" w:eastAsia="Calibri" w:cs="Calibri"/>
                <w:color w:val="1A1A1A"/>
                <w:sz w:val="22"/>
                <w:szCs w:val="22"/>
                <w:lang w:val="en-US"/>
              </w:rPr>
              <w:t>-</w:t>
            </w:r>
            <w:r>
              <w:rPr>
                <w:rFonts w:ascii="Calibri" w:hAnsi="Calibri" w:eastAsia="Calibri" w:cs="Calibri"/>
                <w:color w:val="1A1A1A"/>
                <w:sz w:val="22"/>
                <w:szCs w:val="22"/>
              </w:rPr>
              <w:t xml:space="preserve"> Broken Access Control</w:t>
            </w:r>
          </w:p>
        </w:tc>
      </w:tr>
      <w:tr w14:paraId="0B8C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shd w:val="clear" w:color="auto" w:fill="F6F9FE"/>
            <w:tcMar>
              <w:top w:w="100" w:type="dxa"/>
              <w:left w:w="120" w:type="dxa"/>
              <w:bottom w:w="100" w:type="dxa"/>
              <w:right w:w="120" w:type="dxa"/>
            </w:tcMar>
            <w:vAlign w:val="center"/>
          </w:tcPr>
          <w:p w14:paraId="5986DF0E">
            <w:pPr>
              <w:rPr>
                <w:sz w:val="24"/>
                <w:szCs w:val="28"/>
              </w:rPr>
            </w:pPr>
            <w:r>
              <w:rPr>
                <w:rFonts w:ascii="Calibri" w:hAnsi="Calibri" w:eastAsia="Calibri" w:cs="Calibri"/>
                <w:color w:val="1A1A1A"/>
                <w:sz w:val="22"/>
                <w:szCs w:val="22"/>
              </w:rPr>
              <w:t>4</w:t>
            </w:r>
          </w:p>
        </w:tc>
        <w:tc>
          <w:tcPr>
            <w:tcW w:w="6280" w:type="dxa"/>
            <w:shd w:val="clear" w:color="auto" w:fill="F6F9FE"/>
            <w:tcMar>
              <w:top w:w="100" w:type="dxa"/>
              <w:left w:w="120" w:type="dxa"/>
              <w:bottom w:w="100" w:type="dxa"/>
              <w:right w:w="120" w:type="dxa"/>
            </w:tcMar>
            <w:vAlign w:val="center"/>
          </w:tcPr>
          <w:p w14:paraId="2B0AE91B">
            <w:pPr>
              <w:rPr>
                <w:sz w:val="24"/>
                <w:szCs w:val="28"/>
              </w:rPr>
            </w:pPr>
            <w:r>
              <w:rPr>
                <w:rFonts w:ascii="Calibri" w:hAnsi="Calibri" w:eastAsia="Calibri" w:cs="Calibri"/>
                <w:color w:val="1A1A1A"/>
                <w:sz w:val="22"/>
                <w:szCs w:val="22"/>
              </w:rPr>
              <w:t xml:space="preserve">File path traversal, simple case (optional </w:t>
            </w:r>
            <w:r>
              <w:rPr>
                <w:rFonts w:hint="default" w:ascii="Calibri" w:hAnsi="Calibri" w:eastAsia="Calibri" w:cs="Calibri"/>
                <w:color w:val="1A1A1A"/>
                <w:sz w:val="22"/>
                <w:szCs w:val="22"/>
                <w:lang w:val="en-US"/>
              </w:rPr>
              <w:t>-</w:t>
            </w:r>
            <w:r>
              <w:rPr>
                <w:rFonts w:ascii="Calibri" w:hAnsi="Calibri" w:eastAsia="Calibri" w:cs="Calibri"/>
                <w:color w:val="1A1A1A"/>
                <w:sz w:val="22"/>
                <w:szCs w:val="22"/>
              </w:rPr>
              <w:t xml:space="preserve"> substituted for CSRF)</w:t>
            </w:r>
          </w:p>
        </w:tc>
        <w:tc>
          <w:tcPr>
            <w:tcW w:w="3000" w:type="dxa"/>
            <w:shd w:val="clear" w:color="auto" w:fill="F6F9FE"/>
            <w:tcMar>
              <w:top w:w="100" w:type="dxa"/>
              <w:left w:w="120" w:type="dxa"/>
              <w:bottom w:w="100" w:type="dxa"/>
              <w:right w:w="120" w:type="dxa"/>
            </w:tcMar>
            <w:vAlign w:val="center"/>
          </w:tcPr>
          <w:p w14:paraId="4FA9D884">
            <w:pPr>
              <w:rPr>
                <w:sz w:val="24"/>
                <w:szCs w:val="28"/>
              </w:rPr>
            </w:pPr>
            <w:r>
              <w:rPr>
                <w:rFonts w:ascii="Calibri" w:hAnsi="Calibri" w:eastAsia="Calibri" w:cs="Calibri"/>
                <w:color w:val="1A1A1A"/>
                <w:sz w:val="22"/>
                <w:szCs w:val="22"/>
              </w:rPr>
              <w:t xml:space="preserve">A01 </w:t>
            </w:r>
            <w:r>
              <w:rPr>
                <w:rFonts w:hint="default" w:ascii="Calibri" w:hAnsi="Calibri" w:eastAsia="Calibri" w:cs="Calibri"/>
                <w:color w:val="1A1A1A"/>
                <w:sz w:val="22"/>
                <w:szCs w:val="22"/>
                <w:lang w:val="en-US"/>
              </w:rPr>
              <w:t>-</w:t>
            </w:r>
            <w:r>
              <w:rPr>
                <w:rFonts w:ascii="Calibri" w:hAnsi="Calibri" w:eastAsia="Calibri" w:cs="Calibri"/>
                <w:color w:val="1A1A1A"/>
                <w:sz w:val="22"/>
                <w:szCs w:val="22"/>
              </w:rPr>
              <w:t xml:space="preserve"> Broken Access Control</w:t>
            </w:r>
          </w:p>
        </w:tc>
      </w:tr>
    </w:tbl>
    <w:p w14:paraId="6F2A74FB">
      <w:pPr>
        <w:spacing w:after="200"/>
        <w:rPr>
          <w:sz w:val="24"/>
          <w:szCs w:val="28"/>
        </w:rPr>
      </w:pPr>
    </w:p>
    <w:p w14:paraId="473957DA">
      <w:pPr>
        <w:spacing w:after="200"/>
        <w:rPr>
          <w:sz w:val="24"/>
          <w:szCs w:val="28"/>
        </w:rPr>
      </w:pPr>
    </w:p>
    <w:p w14:paraId="116F5383">
      <w:pPr>
        <w:spacing w:after="200"/>
        <w:rPr>
          <w:sz w:val="24"/>
          <w:szCs w:val="28"/>
        </w:rPr>
      </w:pPr>
    </w:p>
    <w:p w14:paraId="52B3C747">
      <w:pPr>
        <w:spacing w:after="200"/>
        <w:rPr>
          <w:sz w:val="24"/>
          <w:szCs w:val="28"/>
        </w:rPr>
      </w:pPr>
    </w:p>
    <w:p w14:paraId="29424982">
      <w:pPr>
        <w:spacing w:after="200"/>
        <w:rPr>
          <w:sz w:val="24"/>
          <w:szCs w:val="28"/>
        </w:rPr>
      </w:pPr>
    </w:p>
    <w:p w14:paraId="385C9D94">
      <w:pPr>
        <w:spacing w:after="200"/>
        <w:rPr>
          <w:sz w:val="24"/>
          <w:szCs w:val="28"/>
        </w:rPr>
      </w:pPr>
      <w:bookmarkStart w:id="0" w:name="_GoBack"/>
      <w:bookmarkEnd w:id="0"/>
    </w:p>
    <w:p w14:paraId="39310058">
      <w:pPr>
        <w:spacing w:after="200"/>
        <w:rPr>
          <w:sz w:val="24"/>
          <w:szCs w:val="28"/>
        </w:rPr>
      </w:pPr>
    </w:p>
    <w:p w14:paraId="540BF0E5">
      <w:pPr>
        <w:pStyle w:val="2"/>
        <w:pBdr>
          <w:bottom w:val="single" w:color="3B6FC9" w:sz="6" w:space="4"/>
        </w:pBdr>
        <w:spacing w:before="360" w:after="160"/>
        <w:rPr>
          <w:sz w:val="40"/>
          <w:szCs w:val="40"/>
        </w:rPr>
      </w:pPr>
      <w:r>
        <w:rPr>
          <w:rFonts w:ascii="Calibri" w:hAnsi="Calibri" w:eastAsia="Calibri" w:cs="Calibri"/>
          <w:b/>
          <w:bCs/>
          <w:color w:val="1E3A66"/>
          <w:sz w:val="36"/>
          <w:szCs w:val="36"/>
        </w:rPr>
        <w:t>5. Conclusion &amp; Lessons Learned</w:t>
      </w:r>
    </w:p>
    <w:p w14:paraId="338CFDD6">
      <w:pPr>
        <w:spacing w:after="180" w:line="300" w:lineRule="auto"/>
        <w:rPr>
          <w:sz w:val="24"/>
          <w:szCs w:val="28"/>
        </w:rPr>
      </w:pPr>
      <w:r>
        <w:rPr>
          <w:rFonts w:ascii="Calibri" w:hAnsi="Calibri" w:eastAsia="Calibri" w:cs="Calibri"/>
          <w:color w:val="1A1A1A"/>
          <w:sz w:val="28"/>
          <w:szCs w:val="28"/>
        </w:rPr>
        <w:t xml:space="preserve">Completing these four labs built a practical, end-to-end foundation across two of the most prevalent OWASP Top 10 categories. The Injection labs (SQL injection and reflected XSS) reinforced that the root cause in both cases is the same pattern </w:t>
      </w:r>
      <w:r>
        <w:rPr>
          <w:rFonts w:hint="default" w:ascii="Calibri" w:hAnsi="Calibri" w:eastAsia="Calibri" w:cs="Calibri"/>
          <w:color w:val="1A1A1A"/>
          <w:sz w:val="28"/>
          <w:szCs w:val="28"/>
          <w:lang w:val="en-US"/>
        </w:rPr>
        <w:t>-</w:t>
      </w:r>
      <w:r>
        <w:rPr>
          <w:rFonts w:ascii="Calibri" w:hAnsi="Calibri" w:eastAsia="Calibri" w:cs="Calibri"/>
          <w:color w:val="1A1A1A"/>
          <w:sz w:val="28"/>
          <w:szCs w:val="28"/>
        </w:rPr>
        <w:t xml:space="preserve"> untrusted input reaching a sensitive sink (a SQL query or an HTML response) without being treated strictly as data. The Broken Access Control labs (the unprotected admin panel and the file path traversal substitution) reinforced that hiding a resource is not the same as protecting it </w:t>
      </w:r>
      <w:r>
        <w:rPr>
          <w:rFonts w:hint="default" w:ascii="Calibri" w:hAnsi="Calibri" w:eastAsia="Calibri" w:cs="Calibri"/>
          <w:color w:val="1A1A1A"/>
          <w:sz w:val="28"/>
          <w:szCs w:val="28"/>
          <w:lang w:val="en-US"/>
        </w:rPr>
        <w:t>-</w:t>
      </w:r>
      <w:r>
        <w:rPr>
          <w:rFonts w:ascii="Calibri" w:hAnsi="Calibri" w:eastAsia="Calibri" w:cs="Calibri"/>
          <w:color w:val="1A1A1A"/>
          <w:sz w:val="28"/>
          <w:szCs w:val="28"/>
        </w:rPr>
        <w:t xml:space="preserve"> real security requires the server to enforce authorization and validate input on every request, not rely on obscurity.</w:t>
      </w:r>
    </w:p>
    <w:p w14:paraId="6752A9D0">
      <w:pPr>
        <w:spacing w:after="180" w:line="300" w:lineRule="auto"/>
        <w:rPr>
          <w:sz w:val="24"/>
          <w:szCs w:val="28"/>
        </w:rPr>
      </w:pPr>
      <w:r>
        <w:rPr>
          <w:rFonts w:ascii="Calibri" w:hAnsi="Calibri" w:eastAsia="Calibri" w:cs="Calibri"/>
          <w:color w:val="1A1A1A"/>
          <w:sz w:val="28"/>
          <w:szCs w:val="28"/>
        </w:rPr>
        <w:t xml:space="preserve">Working through each vulnerability manually in Burp Suite </w:t>
      </w:r>
      <w:r>
        <w:rPr>
          <w:rFonts w:hint="default" w:ascii="Calibri" w:hAnsi="Calibri" w:eastAsia="Calibri" w:cs="Calibri"/>
          <w:color w:val="1A1A1A"/>
          <w:sz w:val="28"/>
          <w:szCs w:val="28"/>
          <w:lang w:val="en-US"/>
        </w:rPr>
        <w:t>-</w:t>
      </w:r>
      <w:r>
        <w:rPr>
          <w:rFonts w:ascii="Calibri" w:hAnsi="Calibri" w:eastAsia="Calibri" w:cs="Calibri"/>
          <w:color w:val="1A1A1A"/>
          <w:sz w:val="28"/>
          <w:szCs w:val="28"/>
        </w:rPr>
        <w:t xml:space="preserve"> capturing the request, modifying it in Repeater, and observing the raw response </w:t>
      </w:r>
      <w:r>
        <w:rPr>
          <w:rFonts w:hint="default" w:ascii="Calibri" w:hAnsi="Calibri" w:eastAsia="Calibri" w:cs="Calibri"/>
          <w:color w:val="1A1A1A"/>
          <w:sz w:val="28"/>
          <w:szCs w:val="28"/>
          <w:lang w:val="en-US"/>
        </w:rPr>
        <w:t>-</w:t>
      </w:r>
      <w:r>
        <w:rPr>
          <w:rFonts w:ascii="Calibri" w:hAnsi="Calibri" w:eastAsia="Calibri" w:cs="Calibri"/>
          <w:color w:val="1A1A1A"/>
          <w:sz w:val="28"/>
          <w:szCs w:val="28"/>
        </w:rPr>
        <w:t xml:space="preserve"> made the mechanics of each attack far clearer than reading about them in isolation. It also made the corresponding mitigations easier to internalise: parameterized queries, context-aware output encoding, server-side RBAC checks, and strict filename allowlisting are not abstract advice but direct, traceable fixes for the exact flaws exploited in each lab.</w:t>
      </w:r>
    </w:p>
    <w:p w14:paraId="3766A720">
      <w:pPr>
        <w:spacing w:after="180" w:line="300" w:lineRule="auto"/>
        <w:rPr>
          <w:sz w:val="24"/>
          <w:szCs w:val="28"/>
        </w:rPr>
      </w:pPr>
      <w:r>
        <w:rPr>
          <w:rFonts w:ascii="Calibri" w:hAnsi="Calibri" w:eastAsia="Calibri" w:cs="Calibri"/>
          <w:color w:val="1A1A1A"/>
          <w:sz w:val="28"/>
          <w:szCs w:val="28"/>
        </w:rPr>
        <w:t xml:space="preserve">The main takeaway going into future weeks is that most of these vulnerabilities share a common root: user input is trusted somewhere it shouldn't be. Carrying that lens into the next set of labs </w:t>
      </w:r>
      <w:r>
        <w:rPr>
          <w:rFonts w:hint="default" w:ascii="Calibri" w:hAnsi="Calibri" w:eastAsia="Calibri" w:cs="Calibri"/>
          <w:color w:val="1A1A1A"/>
          <w:sz w:val="28"/>
          <w:szCs w:val="28"/>
          <w:lang w:val="en-US"/>
        </w:rPr>
        <w:t>-</w:t>
      </w:r>
      <w:r>
        <w:rPr>
          <w:rFonts w:ascii="Calibri" w:hAnsi="Calibri" w:eastAsia="Calibri" w:cs="Calibri"/>
          <w:color w:val="1A1A1A"/>
          <w:sz w:val="28"/>
          <w:szCs w:val="28"/>
        </w:rPr>
        <w:t xml:space="preserve"> checking, for every input, where it ends up and whether it is validated before it gets there </w:t>
      </w:r>
      <w:r>
        <w:rPr>
          <w:rFonts w:hint="default" w:ascii="Calibri" w:hAnsi="Calibri" w:eastAsia="Calibri" w:cs="Calibri"/>
          <w:color w:val="1A1A1A"/>
          <w:sz w:val="28"/>
          <w:szCs w:val="28"/>
          <w:lang w:val="en-US"/>
        </w:rPr>
        <w:t>-</w:t>
      </w:r>
      <w:r>
        <w:rPr>
          <w:rFonts w:ascii="Calibri" w:hAnsi="Calibri" w:eastAsia="Calibri" w:cs="Calibri"/>
          <w:color w:val="1A1A1A"/>
          <w:sz w:val="28"/>
          <w:szCs w:val="28"/>
        </w:rPr>
        <w:t xml:space="preserve"> will be the primary focus going forward.</w:t>
      </w:r>
    </w:p>
    <w:sectPr>
      <w:footerReference r:id="rId3" w:type="default"/>
      <w:pgSz w:w="12240" w:h="15840"/>
      <w:pgMar w:top="1080" w:right="1080" w:bottom="1080" w:left="1080" w:header="708" w:footer="708" w:gutter="0"/>
      <w:pgBorders>
        <w:top w:val="single" w:color="95B3D7" w:sz="12" w:space="1"/>
        <w:left w:val="single" w:color="95B3D7" w:sz="12" w:space="4"/>
        <w:bottom w:val="single" w:color="95B3D7" w:sz="12" w:space="1"/>
        <w:right w:val="single" w:color="95B3D7" w:sz="12" w:space="4"/>
      </w:pgBorders>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B8FE">
    <w:pPr>
      <w:jc w:val="center"/>
    </w:pPr>
    <w:r>
      <w:rPr>
        <w:rFonts w:ascii="Calibri" w:hAnsi="Calibri" w:eastAsia="Calibri" w:cs="Calibri"/>
        <w:color w:val="6B6B6B"/>
        <w:sz w:val="16"/>
        <w:szCs w:val="16"/>
      </w:rPr>
      <w:t xml:space="preserve"> Page </w:t>
    </w:r>
    <w:r>
      <w:rPr>
        <w:rFonts w:ascii="Calibri" w:hAnsi="Calibri" w:eastAsia="Calibri" w:cs="Calibri"/>
        <w:color w:val="6B6B6B"/>
        <w:sz w:val="16"/>
        <w:szCs w:val="16"/>
      </w:rPr>
      <w:fldChar w:fldCharType="begin"/>
    </w:r>
    <w:r>
      <w:rPr>
        <w:rFonts w:ascii="Calibri" w:hAnsi="Calibri" w:eastAsia="Calibri" w:cs="Calibri"/>
        <w:color w:val="6B6B6B"/>
        <w:sz w:val="16"/>
        <w:szCs w:val="16"/>
      </w:rPr>
      <w:instrText xml:space="preserve">PAGE</w:instrText>
    </w:r>
    <w:r>
      <w:rPr>
        <w:rFonts w:ascii="Calibri" w:hAnsi="Calibri" w:eastAsia="Calibri" w:cs="Calibri"/>
        <w:color w:val="6B6B6B"/>
        <w:sz w:val="16"/>
        <w:szCs w:val="16"/>
      </w:rPr>
      <w:fldChar w:fldCharType="separate"/>
    </w:r>
    <w:r>
      <w:rPr>
        <w:rFonts w:ascii="Calibri" w:hAnsi="Calibri" w:eastAsia="Calibri" w:cs="Calibri"/>
        <w:color w:val="6B6B6B"/>
        <w:sz w:val="16"/>
        <w:szCs w:val="16"/>
      </w:rPr>
      <w:fldChar w:fldCharType="end"/>
    </w:r>
    <w:r>
      <w:rPr>
        <w:rFonts w:ascii="Calibri" w:hAnsi="Calibri" w:eastAsia="Calibri" w:cs="Calibri"/>
        <w:color w:val="6B6B6B"/>
        <w:sz w:val="16"/>
        <w:szCs w:val="16"/>
      </w:rPr>
      <w:t xml:space="preserve"> of </w:t>
    </w:r>
    <w:r>
      <w:rPr>
        <w:rFonts w:ascii="Calibri" w:hAnsi="Calibri" w:eastAsia="Calibri" w:cs="Calibri"/>
        <w:color w:val="6B6B6B"/>
        <w:sz w:val="16"/>
        <w:szCs w:val="16"/>
      </w:rPr>
      <w:fldChar w:fldCharType="begin"/>
    </w:r>
    <w:r>
      <w:rPr>
        <w:rFonts w:ascii="Calibri" w:hAnsi="Calibri" w:eastAsia="Calibri" w:cs="Calibri"/>
        <w:color w:val="6B6B6B"/>
        <w:sz w:val="16"/>
        <w:szCs w:val="16"/>
      </w:rPr>
      <w:instrText xml:space="preserve">NUMPAGES</w:instrText>
    </w:r>
    <w:r>
      <w:rPr>
        <w:rFonts w:ascii="Calibri" w:hAnsi="Calibri" w:eastAsia="Calibri" w:cs="Calibri"/>
        <w:color w:val="6B6B6B"/>
        <w:sz w:val="16"/>
        <w:szCs w:val="16"/>
      </w:rPr>
      <w:fldChar w:fldCharType="separate"/>
    </w:r>
    <w:r>
      <w:rPr>
        <w:rFonts w:ascii="Calibri" w:hAnsi="Calibri" w:eastAsia="Calibri" w:cs="Calibri"/>
        <w:color w:val="6B6B6B"/>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78BBB7"/>
    <w:multiLevelType w:val="singleLevel"/>
    <w:tmpl w:val="3A78BBB7"/>
    <w:lvl w:ilvl="0" w:tentative="0">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032B3843"/>
    <w:rsid w:val="091F0158"/>
    <w:rsid w:val="1677281C"/>
    <w:rsid w:val="4EBE2ACF"/>
    <w:rsid w:val="74B646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heme="minorHAnsi" w:hAnsiTheme="minorHAnsi" w:eastAsiaTheme="minorEastAsia" w:cstheme="minorBid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Theme="minorHAnsi" w:hAnsiTheme="minorHAnsi" w:eastAsiaTheme="minorEastAsia" w:cstheme="minorBidi"/>
      <w:sz w:val="56"/>
      <w:szCs w:val="56"/>
    </w:rPr>
  </w:style>
  <w:style w:type="paragraph" w:styleId="18">
    <w:name w:val="List Paragraph"/>
    <w:qFormat/>
    <w:uiPriority w:val="0"/>
    <w:rPr>
      <w:rFonts w:asciiTheme="minorHAnsi" w:hAnsiTheme="minorHAnsi" w:eastAsiaTheme="minorEastAsia" w:cstheme="minorBidi"/>
      <w:sz w:val="21"/>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1247</Words>
  <Characters>7217</Characters>
  <TotalTime>6</TotalTime>
  <ScaleCrop>false</ScaleCrop>
  <LinksUpToDate>false</LinksUpToDate>
  <CharactersWithSpaces>8390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2026-09-05T15:06:00Z</dcterms:created>
  <dc:creator>Muhammad Raza</dc:creator>
  <cp:lastModifiedBy>Raza Javaid</cp:lastModifiedBy>
  <dcterms:modified xsi:type="dcterms:W3CDTF">2026-09-05T15:27:26Z</dcterms:modified>
  <dc:title>Web Application Security — AstraQuantum Tech Week 4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1033-12.1.0.28485</vt:lpwstr>
  </property>
  <property fmtid="{D5CDD505-2E9C-101B-9397-08002B2CF9AE}" pid="4" name="ICV">
    <vt:lpwstr>133787BA0BD549DC91395182FCADBC4A_12</vt:lpwstr>
  </property>
</Properties>
</file>