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E0B11">
      <w:pPr>
        <w:spacing w:before="400" w:after="200"/>
        <w:jc w:val="center"/>
      </w:pPr>
      <w:r>
        <w:drawing>
          <wp:inline distT="0" distB="0" distL="0" distR="0">
            <wp:extent cx="3248660" cy="32238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248660" cy="3223895"/>
                    </a:xfrm>
                    <a:prstGeom prst="rect">
                      <a:avLst/>
                    </a:prstGeom>
                  </pic:spPr>
                </pic:pic>
              </a:graphicData>
            </a:graphic>
          </wp:inline>
        </w:drawing>
      </w:r>
    </w:p>
    <w:p w14:paraId="5655CDC6">
      <w:pPr>
        <w:spacing w:after="40"/>
        <w:jc w:val="center"/>
      </w:pPr>
      <w:r>
        <w:rPr>
          <w:rFonts w:ascii="Calibri" w:hAnsi="Calibri" w:eastAsia="Calibri" w:cs="Calibri"/>
          <w:b/>
          <w:bCs/>
          <w:color w:val="0987FF"/>
          <w:sz w:val="40"/>
          <w:szCs w:val="40"/>
        </w:rPr>
        <w:t>ASTRAQUANTUM TECH</w:t>
      </w:r>
    </w:p>
    <w:p w14:paraId="39E3B451">
      <w:pPr>
        <w:spacing w:after="300"/>
        <w:jc w:val="center"/>
      </w:pPr>
      <w:r>
        <w:rPr>
          <w:rFonts w:ascii="Calibri" w:hAnsi="Calibri" w:eastAsia="Calibri" w:cs="Calibri"/>
          <w:b/>
          <w:bCs/>
          <w:color w:val="071427"/>
          <w:sz w:val="30"/>
          <w:szCs w:val="30"/>
        </w:rPr>
        <w:t>SUMMER OF CYBERSECURITY 2026</w:t>
      </w:r>
    </w:p>
    <w:p w14:paraId="09A3108D">
      <w:pPr>
        <w:spacing w:after="40"/>
        <w:jc w:val="center"/>
      </w:pPr>
      <w:r>
        <w:rPr>
          <w:rFonts w:ascii="Calibri" w:hAnsi="Calibri" w:eastAsia="Calibri" w:cs="Calibri"/>
          <w:b/>
          <w:bCs/>
          <w:color w:val="1A1A1A"/>
          <w:sz w:val="26"/>
          <w:szCs w:val="26"/>
        </w:rPr>
        <w:t>WEEK 5 PRACTICAL ASSIGNMENT</w:t>
      </w:r>
    </w:p>
    <w:p w14:paraId="7EF30A00">
      <w:pPr>
        <w:spacing w:after="20"/>
        <w:jc w:val="center"/>
      </w:pPr>
      <w:r>
        <w:rPr>
          <w:rFonts w:ascii="Calibri" w:hAnsi="Calibri" w:eastAsia="Calibri" w:cs="Calibri"/>
          <w:i/>
          <w:iCs/>
          <w:color w:val="5A5A5A"/>
          <w:sz w:val="22"/>
          <w:szCs w:val="22"/>
        </w:rPr>
        <w:t>Penetration Testing &amp; Professional Security Reporting</w:t>
      </w:r>
    </w:p>
    <w:p w14:paraId="4F6D7889">
      <w:pPr>
        <w:spacing w:after="500"/>
        <w:jc w:val="center"/>
      </w:pPr>
      <w:r>
        <w:rPr>
          <w:rFonts w:ascii="Calibri" w:hAnsi="Calibri" w:eastAsia="Calibri" w:cs="Calibri"/>
          <w:color w:val="5A5A5A"/>
          <w:sz w:val="20"/>
          <w:szCs w:val="20"/>
        </w:rPr>
        <w:t>Guided Learning • Controlled Labs • Evidence • VAPT Report</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17A4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6777D4D2">
            <w:pPr>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2A08D959">
            <w:pPr>
              <w:jc w:val="left"/>
            </w:pPr>
            <w:r>
              <w:rPr>
                <w:rFonts w:ascii="Calibri" w:hAnsi="Calibri" w:eastAsia="Calibri" w:cs="Calibri"/>
                <w:b w:val="0"/>
                <w:bCs w:val="0"/>
                <w:color w:val="1A1A1A"/>
                <w:sz w:val="22"/>
                <w:szCs w:val="22"/>
              </w:rPr>
              <w:t>Muhammad Raza</w:t>
            </w:r>
          </w:p>
        </w:tc>
      </w:tr>
      <w:tr w14:paraId="5880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9A3A744">
            <w:pPr>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4FFE10ED">
            <w:pPr>
              <w:jc w:val="left"/>
            </w:pPr>
            <w:r>
              <w:rPr>
                <w:rFonts w:ascii="Calibri" w:hAnsi="Calibri" w:eastAsia="Calibri" w:cs="Calibri"/>
                <w:b w:val="0"/>
                <w:bCs w:val="0"/>
                <w:color w:val="1A1A1A"/>
                <w:sz w:val="22"/>
                <w:szCs w:val="22"/>
              </w:rPr>
              <w:t>September 13, 2026</w:t>
            </w:r>
          </w:p>
        </w:tc>
      </w:tr>
      <w:tr w14:paraId="6B44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D4B956D">
            <w:pPr>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551A1A2F">
            <w:pPr>
              <w:jc w:val="left"/>
            </w:pPr>
            <w:r>
              <w:rPr>
                <w:rFonts w:ascii="Calibri" w:hAnsi="Calibri" w:eastAsia="Calibri" w:cs="Calibri"/>
                <w:b w:val="0"/>
                <w:bCs w:val="0"/>
                <w:color w:val="1A1A1A"/>
                <w:sz w:val="22"/>
                <w:szCs w:val="22"/>
              </w:rPr>
              <w:t>AstraQuantum Tech Team</w:t>
            </w:r>
          </w:p>
        </w:tc>
      </w:tr>
      <w:tr w14:paraId="09AD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780861E">
            <w:pPr>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62763A01">
            <w:pPr>
              <w:jc w:val="left"/>
            </w:pPr>
            <w:r>
              <w:rPr>
                <w:rFonts w:ascii="Calibri" w:hAnsi="Calibri" w:eastAsia="Calibri" w:cs="Calibri"/>
                <w:b w:val="0"/>
                <w:bCs w:val="0"/>
                <w:color w:val="1A1A1A"/>
                <w:sz w:val="22"/>
                <w:szCs w:val="22"/>
              </w:rPr>
              <w:t>AstraQuantum Tech – Summer of Cybersecurity 2026</w:t>
            </w:r>
          </w:p>
        </w:tc>
      </w:tr>
    </w:tbl>
    <w:p w14:paraId="744B33F1">
      <w:r>
        <w:br w:type="page"/>
      </w:r>
    </w:p>
    <w:p w14:paraId="27B9A3D4">
      <w:pPr>
        <w:sectPr>
          <w:pgSz w:w="12240" w:h="15840"/>
          <w:pgMar w:top="1440" w:right="1440" w:bottom="1440" w:left="1440" w:header="708" w:footer="708" w:gutter="0"/>
          <w:pgBorders>
            <w:top w:val="single" w:color="548DD4" w:themeColor="text2" w:themeTint="99" w:sz="12" w:space="1"/>
            <w:left w:val="single" w:color="548DD4" w:themeColor="text2" w:themeTint="99" w:sz="12" w:space="4"/>
            <w:bottom w:val="single" w:color="548DD4" w:themeColor="text2" w:themeTint="99" w:sz="12" w:space="1"/>
            <w:right w:val="single" w:color="548DD4" w:themeColor="text2" w:themeTint="99" w:sz="12" w:space="4"/>
          </w:pgBorders>
          <w:cols w:space="720" w:num="1"/>
          <w:docGrid w:linePitch="360" w:charSpace="0"/>
        </w:sectPr>
      </w:pPr>
      <w:bookmarkStart w:id="0" w:name="_GoBack"/>
      <w:bookmarkEnd w:id="0"/>
    </w:p>
    <w:p w14:paraId="61F18C7A">
      <w:pPr>
        <w:pStyle w:val="2"/>
        <w:spacing w:before="300" w:after="150"/>
      </w:pPr>
      <w:r>
        <w:rPr>
          <w:rFonts w:ascii="Calibri" w:hAnsi="Calibri" w:eastAsia="Calibri" w:cs="Calibri"/>
          <w:b/>
          <w:bCs/>
          <w:color w:val="0987FF"/>
        </w:rPr>
        <w:t>Table of Contents</w:t>
      </w:r>
    </w:p>
    <w:p w14:paraId="1C551A21">
      <w:pPr>
        <w:tabs>
          <w:tab w:val="right" w:leader="dot" w:pos="9350"/>
        </w:tabs>
        <w:spacing w:after="160"/>
      </w:pPr>
      <w:r>
        <w:rPr>
          <w:rFonts w:ascii="Calibri" w:hAnsi="Calibri" w:eastAsia="Calibri" w:cs="Calibri"/>
          <w:b/>
          <w:bCs/>
          <w:color w:val="071427"/>
          <w:sz w:val="22"/>
          <w:szCs w:val="22"/>
        </w:rPr>
        <w:t>1. Assignment Overview</w:t>
      </w:r>
      <w:r>
        <w:rPr>
          <w:rFonts w:ascii="Calibri" w:hAnsi="Calibri" w:eastAsia="Calibri" w:cs="Calibri"/>
          <w:b/>
          <w:bCs/>
          <w:color w:val="071427"/>
          <w:sz w:val="22"/>
          <w:szCs w:val="22"/>
        </w:rPr>
        <w:tab/>
        <w:t>3</w:t>
      </w:r>
    </w:p>
    <w:p w14:paraId="0BB01B40">
      <w:pPr>
        <w:tabs>
          <w:tab w:val="right" w:leader="dot" w:pos="9350"/>
        </w:tabs>
        <w:spacing w:after="160"/>
      </w:pPr>
      <w:r>
        <w:rPr>
          <w:rFonts w:ascii="Calibri" w:hAnsi="Calibri" w:eastAsia="Calibri" w:cs="Calibri"/>
          <w:b/>
          <w:bCs/>
          <w:color w:val="071427"/>
          <w:sz w:val="22"/>
          <w:szCs w:val="22"/>
        </w:rPr>
        <w:t>2. Scope &amp; Rules of Engagement</w:t>
      </w:r>
      <w:r>
        <w:rPr>
          <w:rFonts w:ascii="Calibri" w:hAnsi="Calibri" w:eastAsia="Calibri" w:cs="Calibri"/>
          <w:b/>
          <w:bCs/>
          <w:color w:val="071427"/>
          <w:sz w:val="22"/>
          <w:szCs w:val="22"/>
        </w:rPr>
        <w:tab/>
        <w:t>3</w:t>
      </w:r>
    </w:p>
    <w:p w14:paraId="66904B9E">
      <w:pPr>
        <w:tabs>
          <w:tab w:val="right" w:leader="dot" w:pos="9350"/>
        </w:tabs>
        <w:spacing w:after="160"/>
      </w:pPr>
      <w:r>
        <w:rPr>
          <w:rFonts w:ascii="Calibri" w:hAnsi="Calibri" w:eastAsia="Calibri" w:cs="Calibri"/>
          <w:b/>
          <w:bCs/>
          <w:color w:val="071427"/>
          <w:sz w:val="22"/>
          <w:szCs w:val="22"/>
        </w:rPr>
        <w:t>3. Executive Summary</w:t>
      </w:r>
      <w:r>
        <w:rPr>
          <w:rFonts w:ascii="Calibri" w:hAnsi="Calibri" w:eastAsia="Calibri" w:cs="Calibri"/>
          <w:b/>
          <w:bCs/>
          <w:color w:val="071427"/>
          <w:sz w:val="22"/>
          <w:szCs w:val="22"/>
        </w:rPr>
        <w:tab/>
        <w:t>3</w:t>
      </w:r>
    </w:p>
    <w:p w14:paraId="79EE6DCE">
      <w:pPr>
        <w:tabs>
          <w:tab w:val="right" w:leader="dot" w:pos="9350"/>
        </w:tabs>
        <w:spacing w:after="160"/>
      </w:pPr>
      <w:r>
        <w:rPr>
          <w:rFonts w:ascii="Calibri" w:hAnsi="Calibri" w:eastAsia="Calibri" w:cs="Calibri"/>
          <w:b/>
          <w:bCs/>
          <w:color w:val="071427"/>
          <w:sz w:val="22"/>
          <w:szCs w:val="22"/>
        </w:rPr>
        <w:t>4. Methodology</w:t>
      </w:r>
      <w:r>
        <w:rPr>
          <w:rFonts w:ascii="Calibri" w:hAnsi="Calibri" w:eastAsia="Calibri" w:cs="Calibri"/>
          <w:b/>
          <w:bCs/>
          <w:color w:val="071427"/>
          <w:sz w:val="22"/>
          <w:szCs w:val="22"/>
        </w:rPr>
        <w:tab/>
        <w:t>3</w:t>
      </w:r>
    </w:p>
    <w:p w14:paraId="1EC40150">
      <w:pPr>
        <w:tabs>
          <w:tab w:val="right" w:leader="dot" w:pos="9350"/>
        </w:tabs>
        <w:spacing w:after="160"/>
      </w:pPr>
      <w:r>
        <w:rPr>
          <w:rFonts w:ascii="Calibri" w:hAnsi="Calibri" w:eastAsia="Calibri" w:cs="Calibri"/>
          <w:b/>
          <w:bCs/>
          <w:color w:val="071427"/>
          <w:sz w:val="22"/>
          <w:szCs w:val="22"/>
        </w:rPr>
        <w:t>5. Tools Used</w:t>
      </w:r>
      <w:r>
        <w:rPr>
          <w:rFonts w:ascii="Calibri" w:hAnsi="Calibri" w:eastAsia="Calibri" w:cs="Calibri"/>
          <w:b/>
          <w:bCs/>
          <w:color w:val="071427"/>
          <w:sz w:val="22"/>
          <w:szCs w:val="22"/>
        </w:rPr>
        <w:tab/>
        <w:t>4</w:t>
      </w:r>
    </w:p>
    <w:p w14:paraId="52225C13">
      <w:pPr>
        <w:tabs>
          <w:tab w:val="right" w:leader="dot" w:pos="9350"/>
        </w:tabs>
        <w:spacing w:after="160"/>
      </w:pPr>
      <w:r>
        <w:rPr>
          <w:rFonts w:ascii="Calibri" w:hAnsi="Calibri" w:eastAsia="Calibri" w:cs="Calibri"/>
          <w:b/>
          <w:bCs/>
          <w:color w:val="071427"/>
          <w:sz w:val="22"/>
          <w:szCs w:val="22"/>
        </w:rPr>
        <w:t>6. HTB Module Summaries</w:t>
      </w:r>
      <w:r>
        <w:rPr>
          <w:rFonts w:ascii="Calibri" w:hAnsi="Calibri" w:eastAsia="Calibri" w:cs="Calibri"/>
          <w:b/>
          <w:bCs/>
          <w:color w:val="071427"/>
          <w:sz w:val="22"/>
          <w:szCs w:val="22"/>
        </w:rPr>
        <w:tab/>
        <w:t>4</w:t>
      </w:r>
    </w:p>
    <w:p w14:paraId="5FB3DBBF">
      <w:pPr>
        <w:tabs>
          <w:tab w:val="right" w:leader="dot" w:pos="9350"/>
        </w:tabs>
        <w:spacing w:after="100"/>
        <w:ind w:left="400"/>
      </w:pPr>
      <w:r>
        <w:rPr>
          <w:rFonts w:ascii="Calibri" w:hAnsi="Calibri" w:eastAsia="Calibri" w:cs="Calibri"/>
          <w:b w:val="0"/>
          <w:bCs w:val="0"/>
          <w:color w:val="1A1A1A"/>
          <w:sz w:val="21"/>
          <w:szCs w:val="21"/>
        </w:rPr>
        <w:t>Module 1 Record — Pentest in a Nutshell (HTB Module 296)</w:t>
      </w:r>
      <w:r>
        <w:rPr>
          <w:rFonts w:ascii="Calibri" w:hAnsi="Calibri" w:eastAsia="Calibri" w:cs="Calibri"/>
          <w:b w:val="0"/>
          <w:bCs w:val="0"/>
          <w:color w:val="1A1A1A"/>
          <w:sz w:val="21"/>
          <w:szCs w:val="21"/>
        </w:rPr>
        <w:tab/>
        <w:t>4</w:t>
      </w:r>
    </w:p>
    <w:p w14:paraId="617AC5FA">
      <w:pPr>
        <w:tabs>
          <w:tab w:val="right" w:leader="dot" w:pos="9350"/>
        </w:tabs>
        <w:spacing w:after="100"/>
        <w:ind w:left="400"/>
      </w:pPr>
      <w:r>
        <w:rPr>
          <w:rFonts w:ascii="Calibri" w:hAnsi="Calibri" w:eastAsia="Calibri" w:cs="Calibri"/>
          <w:b w:val="0"/>
          <w:bCs w:val="0"/>
          <w:color w:val="1A1A1A"/>
          <w:sz w:val="21"/>
          <w:szCs w:val="21"/>
        </w:rPr>
        <w:t>Module 2 Record — Getting Started (HTB Module 77)</w:t>
      </w:r>
      <w:r>
        <w:rPr>
          <w:rFonts w:ascii="Calibri" w:hAnsi="Calibri" w:eastAsia="Calibri" w:cs="Calibri"/>
          <w:b w:val="0"/>
          <w:bCs w:val="0"/>
          <w:color w:val="1A1A1A"/>
          <w:sz w:val="21"/>
          <w:szCs w:val="21"/>
        </w:rPr>
        <w:tab/>
        <w:t>6</w:t>
      </w:r>
    </w:p>
    <w:p w14:paraId="0444D395">
      <w:pPr>
        <w:tabs>
          <w:tab w:val="right" w:leader="dot" w:pos="9350"/>
        </w:tabs>
        <w:spacing w:after="100"/>
        <w:ind w:left="400"/>
      </w:pPr>
      <w:r>
        <w:rPr>
          <w:rFonts w:ascii="Calibri" w:hAnsi="Calibri" w:eastAsia="Calibri" w:cs="Calibri"/>
          <w:b w:val="0"/>
          <w:bCs w:val="0"/>
          <w:color w:val="1A1A1A"/>
          <w:sz w:val="21"/>
          <w:szCs w:val="21"/>
        </w:rPr>
        <w:t>Module 3 Record — Linux Fundamentals (substituted for Module 90)</w:t>
      </w:r>
      <w:r>
        <w:rPr>
          <w:rFonts w:ascii="Calibri" w:hAnsi="Calibri" w:eastAsia="Calibri" w:cs="Calibri"/>
          <w:b w:val="0"/>
          <w:bCs w:val="0"/>
          <w:color w:val="1A1A1A"/>
          <w:sz w:val="21"/>
          <w:szCs w:val="21"/>
        </w:rPr>
        <w:tab/>
        <w:t>8</w:t>
      </w:r>
    </w:p>
    <w:p w14:paraId="55485D15">
      <w:pPr>
        <w:tabs>
          <w:tab w:val="right" w:leader="dot" w:pos="9350"/>
        </w:tabs>
        <w:spacing w:after="160"/>
      </w:pPr>
      <w:r>
        <w:rPr>
          <w:rFonts w:ascii="Calibri" w:hAnsi="Calibri" w:eastAsia="Calibri" w:cs="Calibri"/>
          <w:b/>
          <w:bCs/>
          <w:color w:val="071427"/>
          <w:sz w:val="22"/>
          <w:szCs w:val="22"/>
        </w:rPr>
        <w:t>7. Findings</w:t>
      </w:r>
      <w:r>
        <w:rPr>
          <w:rFonts w:ascii="Calibri" w:hAnsi="Calibri" w:eastAsia="Calibri" w:cs="Calibri"/>
          <w:b/>
          <w:bCs/>
          <w:color w:val="071427"/>
          <w:sz w:val="22"/>
          <w:szCs w:val="22"/>
        </w:rPr>
        <w:tab/>
        <w:t>10</w:t>
      </w:r>
    </w:p>
    <w:p w14:paraId="6BA64D71">
      <w:pPr>
        <w:tabs>
          <w:tab w:val="right" w:leader="dot" w:pos="9350"/>
        </w:tabs>
        <w:spacing w:after="160"/>
      </w:pPr>
      <w:r>
        <w:rPr>
          <w:rFonts w:ascii="Calibri" w:hAnsi="Calibri" w:eastAsia="Calibri" w:cs="Calibri"/>
          <w:b/>
          <w:bCs/>
          <w:color w:val="071427"/>
          <w:sz w:val="22"/>
          <w:szCs w:val="22"/>
        </w:rPr>
        <w:t>8. Risk Rating</w:t>
      </w:r>
      <w:r>
        <w:rPr>
          <w:rFonts w:ascii="Calibri" w:hAnsi="Calibri" w:eastAsia="Calibri" w:cs="Calibri"/>
          <w:b/>
          <w:bCs/>
          <w:color w:val="071427"/>
          <w:sz w:val="22"/>
          <w:szCs w:val="22"/>
        </w:rPr>
        <w:tab/>
        <w:t>12</w:t>
      </w:r>
    </w:p>
    <w:p w14:paraId="27F44753">
      <w:pPr>
        <w:tabs>
          <w:tab w:val="right" w:leader="dot" w:pos="9350"/>
        </w:tabs>
        <w:spacing w:after="160"/>
      </w:pPr>
      <w:r>
        <w:rPr>
          <w:rFonts w:ascii="Calibri" w:hAnsi="Calibri" w:eastAsia="Calibri" w:cs="Calibri"/>
          <w:b/>
          <w:bCs/>
          <w:color w:val="071427"/>
          <w:sz w:val="22"/>
          <w:szCs w:val="22"/>
        </w:rPr>
        <w:t>9. Impact</w:t>
      </w:r>
      <w:r>
        <w:rPr>
          <w:rFonts w:ascii="Calibri" w:hAnsi="Calibri" w:eastAsia="Calibri" w:cs="Calibri"/>
          <w:b/>
          <w:bCs/>
          <w:color w:val="071427"/>
          <w:sz w:val="22"/>
          <w:szCs w:val="22"/>
        </w:rPr>
        <w:tab/>
        <w:t>12</w:t>
      </w:r>
    </w:p>
    <w:p w14:paraId="16FB1269">
      <w:pPr>
        <w:tabs>
          <w:tab w:val="right" w:leader="dot" w:pos="9350"/>
        </w:tabs>
        <w:spacing w:after="160"/>
      </w:pPr>
      <w:r>
        <w:rPr>
          <w:rFonts w:ascii="Calibri" w:hAnsi="Calibri" w:eastAsia="Calibri" w:cs="Calibri"/>
          <w:b/>
          <w:bCs/>
          <w:color w:val="071427"/>
          <w:sz w:val="22"/>
          <w:szCs w:val="22"/>
        </w:rPr>
        <w:t>10. Recommendation</w:t>
      </w:r>
      <w:r>
        <w:rPr>
          <w:rFonts w:ascii="Calibri" w:hAnsi="Calibri" w:eastAsia="Calibri" w:cs="Calibri"/>
          <w:b/>
          <w:bCs/>
          <w:color w:val="071427"/>
          <w:sz w:val="22"/>
          <w:szCs w:val="22"/>
        </w:rPr>
        <w:tab/>
        <w:t>12</w:t>
      </w:r>
    </w:p>
    <w:p w14:paraId="090EE020">
      <w:pPr>
        <w:tabs>
          <w:tab w:val="right" w:leader="dot" w:pos="9350"/>
        </w:tabs>
        <w:spacing w:after="160"/>
      </w:pPr>
      <w:r>
        <w:rPr>
          <w:rFonts w:ascii="Calibri" w:hAnsi="Calibri" w:eastAsia="Calibri" w:cs="Calibri"/>
          <w:b/>
          <w:bCs/>
          <w:color w:val="071427"/>
          <w:sz w:val="22"/>
          <w:szCs w:val="22"/>
        </w:rPr>
        <w:t>11. Conclusion</w:t>
      </w:r>
      <w:r>
        <w:rPr>
          <w:rFonts w:ascii="Calibri" w:hAnsi="Calibri" w:eastAsia="Calibri" w:cs="Calibri"/>
          <w:b/>
          <w:bCs/>
          <w:color w:val="071427"/>
          <w:sz w:val="22"/>
          <w:szCs w:val="22"/>
        </w:rPr>
        <w:tab/>
        <w:t>12</w:t>
      </w:r>
    </w:p>
    <w:p w14:paraId="334A8CC0">
      <w:pPr>
        <w:tabs>
          <w:tab w:val="right" w:leader="dot" w:pos="9350"/>
        </w:tabs>
        <w:spacing w:after="160"/>
      </w:pPr>
      <w:r>
        <w:rPr>
          <w:rFonts w:ascii="Calibri" w:hAnsi="Calibri" w:eastAsia="Calibri" w:cs="Calibri"/>
          <w:b/>
          <w:bCs/>
          <w:color w:val="071427"/>
          <w:sz w:val="22"/>
          <w:szCs w:val="22"/>
        </w:rPr>
        <w:t>12. Report Quality Checklist</w:t>
      </w:r>
      <w:r>
        <w:rPr>
          <w:rFonts w:ascii="Calibri" w:hAnsi="Calibri" w:eastAsia="Calibri" w:cs="Calibri"/>
          <w:b/>
          <w:bCs/>
          <w:color w:val="071427"/>
          <w:sz w:val="22"/>
          <w:szCs w:val="22"/>
        </w:rPr>
        <w:tab/>
        <w:t>13</w:t>
      </w:r>
    </w:p>
    <w:p w14:paraId="23F98196">
      <w:pPr>
        <w:tabs>
          <w:tab w:val="right" w:leader="dot" w:pos="9350"/>
        </w:tabs>
        <w:spacing w:after="160"/>
      </w:pPr>
      <w:r>
        <w:rPr>
          <w:rFonts w:ascii="Calibri" w:hAnsi="Calibri" w:eastAsia="Calibri" w:cs="Calibri"/>
          <w:b/>
          <w:bCs/>
          <w:color w:val="071427"/>
          <w:sz w:val="22"/>
          <w:szCs w:val="22"/>
        </w:rPr>
        <w:t>Appendix</w:t>
      </w:r>
      <w:r>
        <w:rPr>
          <w:rFonts w:ascii="Calibri" w:hAnsi="Calibri" w:eastAsia="Calibri" w:cs="Calibri"/>
          <w:b/>
          <w:bCs/>
          <w:color w:val="071427"/>
          <w:sz w:val="22"/>
          <w:szCs w:val="22"/>
        </w:rPr>
        <w:tab/>
        <w:t>13</w:t>
      </w:r>
    </w:p>
    <w:p w14:paraId="10D032BE">
      <w:r>
        <w:br w:type="page"/>
      </w:r>
    </w:p>
    <w:p w14:paraId="7F12A8F9">
      <w:pPr>
        <w:sectPr>
          <w:pgSz w:w="12240" w:h="15840"/>
          <w:pgMar w:top="1440" w:right="1440" w:bottom="1440" w:left="1440" w:header="708" w:footer="708" w:gutter="0"/>
          <w:pgBorders>
            <w:top w:val="single" w:color="548DD4" w:themeColor="text2" w:themeTint="99" w:sz="12" w:space="1"/>
            <w:left w:val="single" w:color="548DD4" w:themeColor="text2" w:themeTint="99" w:sz="12" w:space="4"/>
            <w:bottom w:val="single" w:color="548DD4" w:themeColor="text2" w:themeTint="99" w:sz="12" w:space="1"/>
            <w:right w:val="single" w:color="548DD4" w:themeColor="text2" w:themeTint="99" w:sz="12" w:space="4"/>
          </w:pgBorders>
          <w:cols w:space="720" w:num="1"/>
          <w:docGrid w:linePitch="360" w:charSpace="0"/>
        </w:sectPr>
      </w:pPr>
    </w:p>
    <w:p w14:paraId="4DBC835D">
      <w:pPr>
        <w:pStyle w:val="2"/>
        <w:spacing w:before="300" w:after="150"/>
      </w:pPr>
      <w:r>
        <w:rPr>
          <w:rFonts w:ascii="Calibri" w:hAnsi="Calibri" w:eastAsia="Calibri" w:cs="Calibri"/>
          <w:b/>
          <w:bCs/>
          <w:color w:val="071427"/>
        </w:rPr>
        <w:t>1. Assignment Overview</w:t>
      </w:r>
    </w:p>
    <w:p w14:paraId="072C0DC2">
      <w:pPr>
        <w:spacing w:after="120"/>
      </w:pPr>
      <w:r>
        <w:rPr>
          <w:rFonts w:ascii="Calibri" w:hAnsi="Calibri" w:eastAsia="Calibri" w:cs="Calibri"/>
          <w:sz w:val="22"/>
          <w:szCs w:val="22"/>
        </w:rPr>
        <w:t>This Week 5 assignment introduced the penetration-testing mindset and the professional way security work is documented. The three Hack The Box Academy resources supplied by the instructor were completed in the order provided, guided exercises were performed on authorized lab targets, learning was recorded, and a professional penetration-testing/VAPT report was prepared summarizing the work.</w:t>
      </w:r>
    </w:p>
    <w:p w14:paraId="18042C78">
      <w:pPr>
        <w:spacing w:after="120"/>
      </w:pPr>
      <w:r>
        <w:rPr>
          <w:rFonts w:ascii="Calibri" w:hAnsi="Calibri" w:eastAsia="Calibri" w:cs="Calibri"/>
          <w:sz w:val="22"/>
          <w:szCs w:val="22"/>
        </w:rPr>
        <w:t>Note on substitution: HTB Academy Module 90 could not be completed because it required more HTB cubes than were available in my account at the time. With the instructor's understanding, the Linux Fundamentals module (Module 18) was completed instead, covering equivalent foundational Linux skills relevant to penetration testing (file system hierarchy, permissions, and package/service management).</w:t>
      </w:r>
    </w:p>
    <w:p w14:paraId="71B34CEE">
      <w:pPr>
        <w:pStyle w:val="2"/>
        <w:spacing w:before="300" w:after="150"/>
      </w:pPr>
      <w:r>
        <w:rPr>
          <w:rFonts w:ascii="Calibri" w:hAnsi="Calibri" w:eastAsia="Calibri" w:cs="Calibri"/>
          <w:b/>
          <w:bCs/>
          <w:color w:val="071427"/>
        </w:rPr>
        <w:t>2. Scope &amp; Rules of Engagement</w:t>
      </w:r>
    </w:p>
    <w:p w14:paraId="7B99ADB2">
      <w:pPr>
        <w:spacing w:after="120"/>
      </w:pPr>
      <w:r>
        <w:rPr>
          <w:rFonts w:ascii="Calibri" w:hAnsi="Calibri" w:eastAsia="Calibri" w:cs="Calibri"/>
          <w:sz w:val="22"/>
          <w:szCs w:val="22"/>
        </w:rPr>
        <w:t>All testing described in this report was limited strictly to authorized HTB Academy laboratory targets and workstations provided as part of the assigned modules. The following rules of engagement were observed throughout:</w:t>
      </w:r>
    </w:p>
    <w:p w14:paraId="59389F39">
      <w:pPr>
        <w:pStyle w:val="16"/>
        <w:numPr>
          <w:ilvl w:val="0"/>
          <w:numId w:val="1"/>
        </w:numPr>
        <w:spacing w:after="80"/>
      </w:pPr>
      <w:r>
        <w:rPr>
          <w:rFonts w:ascii="Calibri" w:hAnsi="Calibri" w:eastAsia="Calibri" w:cs="Calibri"/>
          <w:sz w:val="22"/>
          <w:szCs w:val="22"/>
        </w:rPr>
        <w:t>Only targets, labs, and workstations explicitly provided by HTB Academy or the instructor were used.</w:t>
      </w:r>
    </w:p>
    <w:p w14:paraId="41F3D604">
      <w:pPr>
        <w:pStyle w:val="16"/>
        <w:numPr>
          <w:ilvl w:val="0"/>
          <w:numId w:val="1"/>
        </w:numPr>
        <w:spacing w:after="80"/>
      </w:pPr>
      <w:r>
        <w:rPr>
          <w:rFonts w:ascii="Calibri" w:hAnsi="Calibri" w:eastAsia="Calibri" w:cs="Calibri"/>
          <w:sz w:val="22"/>
          <w:szCs w:val="22"/>
        </w:rPr>
        <w:t>No scanning, exploitation, brute-forcing, or testing was performed against websites, IPs, accounts, or devices outside the authorized lab.</w:t>
      </w:r>
    </w:p>
    <w:p w14:paraId="08F417C2">
      <w:pPr>
        <w:pStyle w:val="16"/>
        <w:numPr>
          <w:ilvl w:val="0"/>
          <w:numId w:val="1"/>
        </w:numPr>
        <w:spacing w:after="80"/>
      </w:pPr>
      <w:r>
        <w:rPr>
          <w:rFonts w:ascii="Calibri" w:hAnsi="Calibri" w:eastAsia="Calibri" w:cs="Calibri"/>
          <w:sz w:val="22"/>
          <w:szCs w:val="22"/>
        </w:rPr>
        <w:t>No production services or another student's target were attacked.</w:t>
      </w:r>
    </w:p>
    <w:p w14:paraId="0066DEE9">
      <w:pPr>
        <w:pStyle w:val="16"/>
        <w:numPr>
          <w:ilvl w:val="0"/>
          <w:numId w:val="1"/>
        </w:numPr>
        <w:spacing w:after="80"/>
      </w:pPr>
      <w:r>
        <w:rPr>
          <w:rFonts w:ascii="Calibri" w:hAnsi="Calibri" w:eastAsia="Calibri" w:cs="Calibri"/>
          <w:sz w:val="22"/>
          <w:szCs w:val="22"/>
        </w:rPr>
        <w:t>No flags, credentials, tokens, or sensitive lab data were published publicly.</w:t>
      </w:r>
    </w:p>
    <w:p w14:paraId="3D4DF02C">
      <w:pPr>
        <w:pStyle w:val="16"/>
        <w:numPr>
          <w:ilvl w:val="0"/>
          <w:numId w:val="1"/>
        </w:numPr>
        <w:spacing w:after="80"/>
      </w:pPr>
      <w:r>
        <w:rPr>
          <w:rFonts w:ascii="Calibri" w:hAnsi="Calibri" w:eastAsia="Calibri" w:cs="Calibri"/>
          <w:sz w:val="22"/>
          <w:szCs w:val="22"/>
        </w:rPr>
        <w:t>Any technique that could affect a real system was practiced only inside the authorized HTB environment.</w:t>
      </w:r>
    </w:p>
    <w:p w14:paraId="68E996C5">
      <w:pPr>
        <w:pStyle w:val="2"/>
        <w:spacing w:before="300" w:after="150"/>
      </w:pPr>
      <w:r>
        <w:rPr>
          <w:rFonts w:ascii="Calibri" w:hAnsi="Calibri" w:eastAsia="Calibri" w:cs="Calibri"/>
          <w:b/>
          <w:bCs/>
          <w:color w:val="071427"/>
        </w:rPr>
        <w:t>3. Executive Summary</w:t>
      </w:r>
    </w:p>
    <w:p w14:paraId="13977B7A">
      <w:pPr>
        <w:spacing w:after="120"/>
      </w:pPr>
      <w:r>
        <w:rPr>
          <w:rFonts w:ascii="Calibri" w:hAnsi="Calibri" w:eastAsia="Calibri" w:cs="Calibri"/>
          <w:sz w:val="22"/>
          <w:szCs w:val="22"/>
        </w:rPr>
        <w:t>This report documents the completion of three HTB Academy modules — “Pentest in a Nutshell,” “Getting Started,” and “Linux Fundamentals” (substituted for Module 90) — covering the end-to-end penetration testing lifecycle, essential offensive tooling, and core Linux skills. Across the authorized lab targets, three notable security findings were identified and documented: information disclosure via anonymous FTP and exposed SSH keys, local privilege escalation via an insecure sudo configuration, and a general insecure-file-permissions weakness illustrated through the Linux Fundamentals coursework.</w:t>
      </w:r>
    </w:p>
    <w:p w14:paraId="545A3E6C">
      <w:pPr>
        <w:spacing w:after="120"/>
      </w:pPr>
      <w:r>
        <w:rPr>
          <w:rFonts w:ascii="Calibri" w:hAnsi="Calibri" w:eastAsia="Calibri" w:cs="Calibri"/>
          <w:sz w:val="22"/>
          <w:szCs w:val="22"/>
        </w:rPr>
        <w:t>Overall, the exercises reinforced that most real-world compromises stem from configuration and process failures — excessive trust, weak access controls, and information leakage — rather than exotic exploits. Recommendations focus on tightening file permissions, sudo policy, and service configuration, alongside routine use of automated enumeration tooling to detect these issues proactively.</w:t>
      </w:r>
    </w:p>
    <w:p w14:paraId="2CEE881A">
      <w:pPr>
        <w:pStyle w:val="2"/>
        <w:spacing w:before="300" w:after="150"/>
      </w:pPr>
      <w:r>
        <w:rPr>
          <w:rFonts w:ascii="Calibri" w:hAnsi="Calibri" w:eastAsia="Calibri" w:cs="Calibri"/>
          <w:b/>
          <w:bCs/>
          <w:color w:val="071427"/>
        </w:rPr>
        <w:t>4. Methodology</w:t>
      </w:r>
    </w:p>
    <w:p w14:paraId="36182717">
      <w:pPr>
        <w:spacing w:after="120"/>
      </w:pPr>
      <w:r>
        <w:rPr>
          <w:rFonts w:ascii="Calibri" w:hAnsi="Calibri" w:eastAsia="Calibri" w:cs="Calibri"/>
          <w:sz w:val="22"/>
          <w:szCs w:val="22"/>
        </w:rPr>
        <w:t>The assessment followed the professional penetration testing workflow outlined in the assignment brief:</w:t>
      </w:r>
    </w:p>
    <w:p w14:paraId="6047E4F8">
      <w:pPr>
        <w:pStyle w:val="16"/>
        <w:numPr>
          <w:ilvl w:val="0"/>
          <w:numId w:val="1"/>
        </w:numPr>
        <w:spacing w:after="80"/>
      </w:pPr>
      <w:r>
        <w:rPr>
          <w:rFonts w:ascii="Calibri" w:hAnsi="Calibri" w:eastAsia="Calibri" w:cs="Calibri"/>
          <w:sz w:val="22"/>
          <w:szCs w:val="22"/>
        </w:rPr>
        <w:t>Scope — Identify exactly what the HTB lab authorizes testing against.</w:t>
      </w:r>
    </w:p>
    <w:p w14:paraId="26AFE9F4">
      <w:pPr>
        <w:pStyle w:val="16"/>
        <w:numPr>
          <w:ilvl w:val="0"/>
          <w:numId w:val="1"/>
        </w:numPr>
        <w:spacing w:after="80"/>
      </w:pPr>
      <w:r>
        <w:rPr>
          <w:rFonts w:ascii="Calibri" w:hAnsi="Calibri" w:eastAsia="Calibri" w:cs="Calibri"/>
          <w:sz w:val="22"/>
          <w:szCs w:val="22"/>
        </w:rPr>
        <w:t>Understand — Read the scenario and understand the objective of each exercise.</w:t>
      </w:r>
    </w:p>
    <w:p w14:paraId="166821AA">
      <w:pPr>
        <w:pStyle w:val="16"/>
        <w:numPr>
          <w:ilvl w:val="0"/>
          <w:numId w:val="1"/>
        </w:numPr>
        <w:spacing w:after="80"/>
      </w:pPr>
      <w:r>
        <w:rPr>
          <w:rFonts w:ascii="Calibri" w:hAnsi="Calibri" w:eastAsia="Calibri" w:cs="Calibri"/>
          <w:sz w:val="22"/>
          <w:szCs w:val="22"/>
        </w:rPr>
        <w:t>Assess — Perform only the exercises required by the lab.</w:t>
      </w:r>
    </w:p>
    <w:p w14:paraId="33F3C4F6">
      <w:pPr>
        <w:pStyle w:val="16"/>
        <w:numPr>
          <w:ilvl w:val="0"/>
          <w:numId w:val="1"/>
        </w:numPr>
        <w:spacing w:after="80"/>
      </w:pPr>
      <w:r>
        <w:rPr>
          <w:rFonts w:ascii="Calibri" w:hAnsi="Calibri" w:eastAsia="Calibri" w:cs="Calibri"/>
          <w:sz w:val="22"/>
          <w:szCs w:val="22"/>
        </w:rPr>
        <w:t>Validate — Confirm the result on the authorized target.</w:t>
      </w:r>
    </w:p>
    <w:p w14:paraId="1BE6382C">
      <w:pPr>
        <w:pStyle w:val="16"/>
        <w:numPr>
          <w:ilvl w:val="0"/>
          <w:numId w:val="1"/>
        </w:numPr>
        <w:spacing w:after="80"/>
      </w:pPr>
      <w:r>
        <w:rPr>
          <w:rFonts w:ascii="Calibri" w:hAnsi="Calibri" w:eastAsia="Calibri" w:cs="Calibri"/>
          <w:sz w:val="22"/>
          <w:szCs w:val="22"/>
        </w:rPr>
        <w:t>Document — Record evidence and the condition that caused the issue.</w:t>
      </w:r>
    </w:p>
    <w:p w14:paraId="4209E735">
      <w:pPr>
        <w:pStyle w:val="16"/>
        <w:numPr>
          <w:ilvl w:val="0"/>
          <w:numId w:val="1"/>
        </w:numPr>
        <w:spacing w:after="80"/>
      </w:pPr>
      <w:r>
        <w:rPr>
          <w:rFonts w:ascii="Calibri" w:hAnsi="Calibri" w:eastAsia="Calibri" w:cs="Calibri"/>
          <w:sz w:val="22"/>
          <w:szCs w:val="22"/>
        </w:rPr>
        <w:t>Assess Risk — Explain potential impact and severity.</w:t>
      </w:r>
    </w:p>
    <w:p w14:paraId="1F10AFEB">
      <w:pPr>
        <w:pStyle w:val="16"/>
        <w:numPr>
          <w:ilvl w:val="0"/>
          <w:numId w:val="1"/>
        </w:numPr>
        <w:spacing w:after="80"/>
      </w:pPr>
      <w:r>
        <w:rPr>
          <w:rFonts w:ascii="Calibri" w:hAnsi="Calibri" w:eastAsia="Calibri" w:cs="Calibri"/>
          <w:sz w:val="22"/>
          <w:szCs w:val="22"/>
        </w:rPr>
        <w:t>Recommend — Suggest a realistic defensive improvement.</w:t>
      </w:r>
    </w:p>
    <w:p w14:paraId="7FC1A3E2">
      <w:pPr>
        <w:pStyle w:val="16"/>
        <w:numPr>
          <w:ilvl w:val="0"/>
          <w:numId w:val="1"/>
        </w:numPr>
        <w:spacing w:after="80"/>
      </w:pPr>
      <w:r>
        <w:rPr>
          <w:rFonts w:ascii="Calibri" w:hAnsi="Calibri" w:eastAsia="Calibri" w:cs="Calibri"/>
          <w:sz w:val="22"/>
          <w:szCs w:val="22"/>
        </w:rPr>
        <w:t>Report — Present the results clearly and professionally.</w:t>
      </w:r>
    </w:p>
    <w:p w14:paraId="46260F8B">
      <w:pPr>
        <w:pStyle w:val="2"/>
        <w:spacing w:before="300" w:after="150"/>
      </w:pPr>
      <w:r>
        <w:rPr>
          <w:rFonts w:ascii="Calibri" w:hAnsi="Calibri" w:eastAsia="Calibri" w:cs="Calibri"/>
          <w:b/>
          <w:bCs/>
          <w:color w:val="071427"/>
        </w:rPr>
        <w:t>5. Tools Used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357A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1C1B349B">
            <w:pPr>
              <w:jc w:val="left"/>
            </w:pPr>
            <w:r>
              <w:rPr>
                <w:rFonts w:ascii="Calibri" w:hAnsi="Calibri" w:eastAsia="Calibri" w:cs="Calibri"/>
                <w:b/>
                <w:bCs/>
                <w:color w:val="FFFFFF"/>
                <w:sz w:val="21"/>
                <w:szCs w:val="21"/>
              </w:rPr>
              <w:t>Tool</w:t>
            </w:r>
          </w:p>
        </w:tc>
        <w:tc>
          <w:tcPr>
            <w:tcW w:w="6000" w:type="dxa"/>
            <w:shd w:val="clear" w:color="auto" w:fill="071427"/>
            <w:tcMar>
              <w:top w:w="80" w:type="dxa"/>
              <w:left w:w="120" w:type="dxa"/>
              <w:bottom w:w="80" w:type="dxa"/>
              <w:right w:w="120" w:type="dxa"/>
            </w:tcMar>
            <w:vAlign w:val="center"/>
          </w:tcPr>
          <w:p w14:paraId="0DA44B42">
            <w:pPr>
              <w:jc w:val="left"/>
            </w:pPr>
            <w:r>
              <w:rPr>
                <w:rFonts w:ascii="Calibri" w:hAnsi="Calibri" w:eastAsia="Calibri" w:cs="Calibri"/>
                <w:b w:val="0"/>
                <w:bCs w:val="0"/>
                <w:color w:val="FFFFFF"/>
                <w:sz w:val="21"/>
                <w:szCs w:val="21"/>
              </w:rPr>
              <w:t>Purpose</w:t>
            </w:r>
          </w:p>
        </w:tc>
      </w:tr>
      <w:tr w14:paraId="43B8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FFFFF"/>
            <w:tcMar>
              <w:top w:w="80" w:type="dxa"/>
              <w:left w:w="120" w:type="dxa"/>
              <w:bottom w:w="80" w:type="dxa"/>
              <w:right w:w="120" w:type="dxa"/>
            </w:tcMar>
            <w:vAlign w:val="center"/>
          </w:tcPr>
          <w:p w14:paraId="59D87618">
            <w:pPr>
              <w:jc w:val="left"/>
            </w:pPr>
            <w:r>
              <w:rPr>
                <w:rFonts w:ascii="Calibri" w:hAnsi="Calibri" w:eastAsia="Calibri" w:cs="Calibri"/>
                <w:b w:val="0"/>
                <w:bCs w:val="0"/>
                <w:color w:val="1A1A1A"/>
                <w:sz w:val="21"/>
                <w:szCs w:val="21"/>
              </w:rPr>
              <w:t>Nmap</w:t>
            </w:r>
          </w:p>
        </w:tc>
        <w:tc>
          <w:tcPr>
            <w:tcW w:w="6000" w:type="dxa"/>
            <w:shd w:val="clear" w:color="auto" w:fill="FFFFFF"/>
            <w:tcMar>
              <w:top w:w="80" w:type="dxa"/>
              <w:left w:w="120" w:type="dxa"/>
              <w:bottom w:w="80" w:type="dxa"/>
              <w:right w:w="120" w:type="dxa"/>
            </w:tcMar>
            <w:vAlign w:val="center"/>
          </w:tcPr>
          <w:p w14:paraId="26E78F5A">
            <w:pPr>
              <w:jc w:val="left"/>
            </w:pPr>
            <w:r>
              <w:rPr>
                <w:rFonts w:ascii="Calibri" w:hAnsi="Calibri" w:eastAsia="Calibri" w:cs="Calibri"/>
                <w:b w:val="0"/>
                <w:bCs w:val="0"/>
                <w:color w:val="1A1A1A"/>
                <w:sz w:val="21"/>
                <w:szCs w:val="21"/>
              </w:rPr>
              <w:t>Service/version enumeration (nmap -sV, nmap -sVC -p-)</w:t>
            </w:r>
          </w:p>
        </w:tc>
      </w:tr>
      <w:tr w14:paraId="1F2D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2F4F7"/>
            <w:tcMar>
              <w:top w:w="80" w:type="dxa"/>
              <w:left w:w="120" w:type="dxa"/>
              <w:bottom w:w="80" w:type="dxa"/>
              <w:right w:w="120" w:type="dxa"/>
            </w:tcMar>
            <w:vAlign w:val="center"/>
          </w:tcPr>
          <w:p w14:paraId="5709258C">
            <w:pPr>
              <w:jc w:val="left"/>
            </w:pPr>
            <w:r>
              <w:rPr>
                <w:rFonts w:ascii="Calibri" w:hAnsi="Calibri" w:eastAsia="Calibri" w:cs="Calibri"/>
                <w:b w:val="0"/>
                <w:bCs w:val="0"/>
                <w:color w:val="1A1A1A"/>
                <w:sz w:val="21"/>
                <w:szCs w:val="21"/>
              </w:rPr>
              <w:t>Netcat</w:t>
            </w:r>
          </w:p>
        </w:tc>
        <w:tc>
          <w:tcPr>
            <w:tcW w:w="6000" w:type="dxa"/>
            <w:shd w:val="clear" w:color="auto" w:fill="F2F4F7"/>
            <w:tcMar>
              <w:top w:w="80" w:type="dxa"/>
              <w:left w:w="120" w:type="dxa"/>
              <w:bottom w:w="80" w:type="dxa"/>
              <w:right w:w="120" w:type="dxa"/>
            </w:tcMar>
            <w:vAlign w:val="center"/>
          </w:tcPr>
          <w:p w14:paraId="409E2D1A">
            <w:pPr>
              <w:jc w:val="left"/>
            </w:pPr>
            <w:r>
              <w:rPr>
                <w:rFonts w:ascii="Calibri" w:hAnsi="Calibri" w:eastAsia="Calibri" w:cs="Calibri"/>
                <w:b w:val="0"/>
                <w:bCs w:val="0"/>
                <w:color w:val="1A1A1A"/>
                <w:sz w:val="21"/>
                <w:szCs w:val="21"/>
              </w:rPr>
              <w:t>Catching reverse shells and basic network interaction</w:t>
            </w:r>
          </w:p>
        </w:tc>
      </w:tr>
      <w:tr w14:paraId="1F9A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FFFFF"/>
            <w:tcMar>
              <w:top w:w="80" w:type="dxa"/>
              <w:left w:w="120" w:type="dxa"/>
              <w:bottom w:w="80" w:type="dxa"/>
              <w:right w:w="120" w:type="dxa"/>
            </w:tcMar>
            <w:vAlign w:val="center"/>
          </w:tcPr>
          <w:p w14:paraId="67CD5487">
            <w:pPr>
              <w:jc w:val="left"/>
            </w:pPr>
            <w:r>
              <w:rPr>
                <w:rFonts w:ascii="Calibri" w:hAnsi="Calibri" w:eastAsia="Calibri" w:cs="Calibri"/>
                <w:b w:val="0"/>
                <w:bCs w:val="0"/>
                <w:color w:val="1A1A1A"/>
                <w:sz w:val="21"/>
                <w:szCs w:val="21"/>
              </w:rPr>
              <w:t>Tmux</w:t>
            </w:r>
          </w:p>
        </w:tc>
        <w:tc>
          <w:tcPr>
            <w:tcW w:w="6000" w:type="dxa"/>
            <w:shd w:val="clear" w:color="auto" w:fill="FFFFFF"/>
            <w:tcMar>
              <w:top w:w="80" w:type="dxa"/>
              <w:left w:w="120" w:type="dxa"/>
              <w:bottom w:w="80" w:type="dxa"/>
              <w:right w:w="120" w:type="dxa"/>
            </w:tcMar>
            <w:vAlign w:val="center"/>
          </w:tcPr>
          <w:p w14:paraId="639D72F1">
            <w:pPr>
              <w:jc w:val="left"/>
            </w:pPr>
            <w:r>
              <w:rPr>
                <w:rFonts w:ascii="Calibri" w:hAnsi="Calibri" w:eastAsia="Calibri" w:cs="Calibri"/>
                <w:b w:val="0"/>
                <w:bCs w:val="0"/>
                <w:color w:val="1A1A1A"/>
                <w:sz w:val="21"/>
                <w:szCs w:val="21"/>
              </w:rPr>
              <w:t>Session management during lab exercises</w:t>
            </w:r>
          </w:p>
        </w:tc>
      </w:tr>
      <w:tr w14:paraId="11EF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2F4F7"/>
            <w:tcMar>
              <w:top w:w="80" w:type="dxa"/>
              <w:left w:w="120" w:type="dxa"/>
              <w:bottom w:w="80" w:type="dxa"/>
              <w:right w:w="120" w:type="dxa"/>
            </w:tcMar>
            <w:vAlign w:val="center"/>
          </w:tcPr>
          <w:p w14:paraId="6CDFCA81">
            <w:pPr>
              <w:jc w:val="left"/>
            </w:pPr>
            <w:r>
              <w:rPr>
                <w:rFonts w:ascii="Calibri" w:hAnsi="Calibri" w:eastAsia="Calibri" w:cs="Calibri"/>
                <w:b w:val="0"/>
                <w:bCs w:val="0"/>
                <w:color w:val="1A1A1A"/>
                <w:sz w:val="21"/>
                <w:szCs w:val="21"/>
              </w:rPr>
              <w:t>Vim</w:t>
            </w:r>
          </w:p>
        </w:tc>
        <w:tc>
          <w:tcPr>
            <w:tcW w:w="6000" w:type="dxa"/>
            <w:shd w:val="clear" w:color="auto" w:fill="F2F4F7"/>
            <w:tcMar>
              <w:top w:w="80" w:type="dxa"/>
              <w:left w:w="120" w:type="dxa"/>
              <w:bottom w:w="80" w:type="dxa"/>
              <w:right w:w="120" w:type="dxa"/>
            </w:tcMar>
            <w:vAlign w:val="center"/>
          </w:tcPr>
          <w:p w14:paraId="3DF6BC17">
            <w:pPr>
              <w:jc w:val="left"/>
            </w:pPr>
            <w:r>
              <w:rPr>
                <w:rFonts w:ascii="Calibri" w:hAnsi="Calibri" w:eastAsia="Calibri" w:cs="Calibri"/>
                <w:b w:val="0"/>
                <w:bCs w:val="0"/>
                <w:color w:val="1A1A1A"/>
                <w:sz w:val="21"/>
                <w:szCs w:val="21"/>
              </w:rPr>
              <w:t>Editing files/scripts on target and attacker machines</w:t>
            </w:r>
          </w:p>
        </w:tc>
      </w:tr>
      <w:tr w14:paraId="7A90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FFFFF"/>
            <w:tcMar>
              <w:top w:w="80" w:type="dxa"/>
              <w:left w:w="120" w:type="dxa"/>
              <w:bottom w:w="80" w:type="dxa"/>
              <w:right w:w="120" w:type="dxa"/>
            </w:tcMar>
            <w:vAlign w:val="center"/>
          </w:tcPr>
          <w:p w14:paraId="30BDB79D">
            <w:pPr>
              <w:jc w:val="left"/>
            </w:pPr>
            <w:r>
              <w:rPr>
                <w:rFonts w:ascii="Calibri" w:hAnsi="Calibri" w:eastAsia="Calibri" w:cs="Calibri"/>
                <w:b w:val="0"/>
                <w:bCs w:val="0"/>
                <w:color w:val="1A1A1A"/>
                <w:sz w:val="21"/>
                <w:szCs w:val="21"/>
              </w:rPr>
              <w:t>Metasploit Framework</w:t>
            </w:r>
          </w:p>
        </w:tc>
        <w:tc>
          <w:tcPr>
            <w:tcW w:w="6000" w:type="dxa"/>
            <w:shd w:val="clear" w:color="auto" w:fill="FFFFFF"/>
            <w:tcMar>
              <w:top w:w="80" w:type="dxa"/>
              <w:left w:w="120" w:type="dxa"/>
              <w:bottom w:w="80" w:type="dxa"/>
              <w:right w:w="120" w:type="dxa"/>
            </w:tcMar>
            <w:vAlign w:val="center"/>
          </w:tcPr>
          <w:p w14:paraId="735951AE">
            <w:pPr>
              <w:jc w:val="left"/>
            </w:pPr>
            <w:r>
              <w:rPr>
                <w:rFonts w:ascii="Calibri" w:hAnsi="Calibri" w:eastAsia="Calibri" w:cs="Calibri"/>
                <w:b w:val="0"/>
                <w:bCs w:val="0"/>
                <w:color w:val="1A1A1A"/>
                <w:sz w:val="21"/>
                <w:szCs w:val="21"/>
              </w:rPr>
              <w:t>Exploiting a known vulnerable web application (wp_hash_form_rce)</w:t>
            </w:r>
          </w:p>
        </w:tc>
      </w:tr>
      <w:tr w14:paraId="34CE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2F4F7"/>
            <w:tcMar>
              <w:top w:w="80" w:type="dxa"/>
              <w:left w:w="120" w:type="dxa"/>
              <w:bottom w:w="80" w:type="dxa"/>
              <w:right w:w="120" w:type="dxa"/>
            </w:tcMar>
            <w:vAlign w:val="center"/>
          </w:tcPr>
          <w:p w14:paraId="0794A319">
            <w:pPr>
              <w:jc w:val="left"/>
            </w:pPr>
            <w:r>
              <w:rPr>
                <w:rFonts w:ascii="Calibri" w:hAnsi="Calibri" w:eastAsia="Calibri" w:cs="Calibri"/>
                <w:b w:val="0"/>
                <w:bCs w:val="0"/>
                <w:color w:val="1A1A1A"/>
                <w:sz w:val="21"/>
                <w:szCs w:val="21"/>
              </w:rPr>
              <w:t>searchsploit / Exploit-DB</w:t>
            </w:r>
          </w:p>
        </w:tc>
        <w:tc>
          <w:tcPr>
            <w:tcW w:w="6000" w:type="dxa"/>
            <w:shd w:val="clear" w:color="auto" w:fill="F2F4F7"/>
            <w:tcMar>
              <w:top w:w="80" w:type="dxa"/>
              <w:left w:w="120" w:type="dxa"/>
              <w:bottom w:w="80" w:type="dxa"/>
              <w:right w:w="120" w:type="dxa"/>
            </w:tcMar>
            <w:vAlign w:val="center"/>
          </w:tcPr>
          <w:p w14:paraId="145E6C2E">
            <w:pPr>
              <w:jc w:val="left"/>
            </w:pPr>
            <w:r>
              <w:rPr>
                <w:rFonts w:ascii="Calibri" w:hAnsi="Calibri" w:eastAsia="Calibri" w:cs="Calibri"/>
                <w:b w:val="0"/>
                <w:bCs w:val="0"/>
                <w:color w:val="1A1A1A"/>
                <w:sz w:val="21"/>
                <w:szCs w:val="21"/>
              </w:rPr>
              <w:t>Researching public exploits for identified service versions</w:t>
            </w:r>
          </w:p>
        </w:tc>
      </w:tr>
      <w:tr w14:paraId="1B6B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FFFFF"/>
            <w:tcMar>
              <w:top w:w="80" w:type="dxa"/>
              <w:left w:w="120" w:type="dxa"/>
              <w:bottom w:w="80" w:type="dxa"/>
              <w:right w:w="120" w:type="dxa"/>
            </w:tcMar>
            <w:vAlign w:val="center"/>
          </w:tcPr>
          <w:p w14:paraId="5D0E699D">
            <w:pPr>
              <w:jc w:val="left"/>
            </w:pPr>
            <w:r>
              <w:rPr>
                <w:rFonts w:ascii="Calibri" w:hAnsi="Calibri" w:eastAsia="Calibri" w:cs="Calibri"/>
                <w:b w:val="0"/>
                <w:bCs w:val="0"/>
                <w:color w:val="1A1A1A"/>
                <w:sz w:val="21"/>
                <w:szCs w:val="21"/>
              </w:rPr>
              <w:t>LinPEAS</w:t>
            </w:r>
          </w:p>
        </w:tc>
        <w:tc>
          <w:tcPr>
            <w:tcW w:w="6000" w:type="dxa"/>
            <w:shd w:val="clear" w:color="auto" w:fill="FFFFFF"/>
            <w:tcMar>
              <w:top w:w="80" w:type="dxa"/>
              <w:left w:w="120" w:type="dxa"/>
              <w:bottom w:w="80" w:type="dxa"/>
              <w:right w:w="120" w:type="dxa"/>
            </w:tcMar>
            <w:vAlign w:val="center"/>
          </w:tcPr>
          <w:p w14:paraId="733E7433">
            <w:pPr>
              <w:jc w:val="left"/>
            </w:pPr>
            <w:r>
              <w:rPr>
                <w:rFonts w:ascii="Calibri" w:hAnsi="Calibri" w:eastAsia="Calibri" w:cs="Calibri"/>
                <w:b w:val="0"/>
                <w:bCs w:val="0"/>
                <w:color w:val="1A1A1A"/>
                <w:sz w:val="21"/>
                <w:szCs w:val="21"/>
              </w:rPr>
              <w:t>Automated local privilege escalation enumeration on Linux targets</w:t>
            </w:r>
          </w:p>
        </w:tc>
      </w:tr>
      <w:tr w14:paraId="798A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2F4F7"/>
            <w:tcMar>
              <w:top w:w="80" w:type="dxa"/>
              <w:left w:w="120" w:type="dxa"/>
              <w:bottom w:w="80" w:type="dxa"/>
              <w:right w:w="120" w:type="dxa"/>
            </w:tcMar>
            <w:vAlign w:val="center"/>
          </w:tcPr>
          <w:p w14:paraId="10D9E140">
            <w:pPr>
              <w:jc w:val="left"/>
            </w:pPr>
            <w:r>
              <w:rPr>
                <w:rFonts w:ascii="Calibri" w:hAnsi="Calibri" w:eastAsia="Calibri" w:cs="Calibri"/>
                <w:b w:val="0"/>
                <w:bCs w:val="0"/>
                <w:color w:val="1A1A1A"/>
                <w:sz w:val="21"/>
                <w:szCs w:val="21"/>
              </w:rPr>
              <w:t>CrackMapExec</w:t>
            </w:r>
          </w:p>
        </w:tc>
        <w:tc>
          <w:tcPr>
            <w:tcW w:w="6000" w:type="dxa"/>
            <w:shd w:val="clear" w:color="auto" w:fill="F2F4F7"/>
            <w:tcMar>
              <w:top w:w="80" w:type="dxa"/>
              <w:left w:w="120" w:type="dxa"/>
              <w:bottom w:w="80" w:type="dxa"/>
              <w:right w:w="120" w:type="dxa"/>
            </w:tcMar>
            <w:vAlign w:val="center"/>
          </w:tcPr>
          <w:p w14:paraId="547E5B7B">
            <w:pPr>
              <w:jc w:val="left"/>
            </w:pPr>
            <w:r>
              <w:rPr>
                <w:rFonts w:ascii="Calibri" w:hAnsi="Calibri" w:eastAsia="Calibri" w:cs="Calibri"/>
                <w:b w:val="0"/>
                <w:bCs w:val="0"/>
                <w:color w:val="1A1A1A"/>
                <w:sz w:val="21"/>
                <w:szCs w:val="21"/>
              </w:rPr>
              <w:t>Enumerating and spidering exposed Windows SMB shares</w:t>
            </w:r>
          </w:p>
        </w:tc>
      </w:tr>
      <w:tr w14:paraId="2798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FFFFF"/>
            <w:tcMar>
              <w:top w:w="80" w:type="dxa"/>
              <w:left w:w="120" w:type="dxa"/>
              <w:bottom w:w="80" w:type="dxa"/>
              <w:right w:w="120" w:type="dxa"/>
            </w:tcMar>
            <w:vAlign w:val="center"/>
          </w:tcPr>
          <w:p w14:paraId="78DC0060">
            <w:pPr>
              <w:jc w:val="left"/>
            </w:pPr>
            <w:r>
              <w:rPr>
                <w:rFonts w:ascii="Calibri" w:hAnsi="Calibri" w:eastAsia="Calibri" w:cs="Calibri"/>
                <w:b w:val="0"/>
                <w:bCs w:val="0"/>
                <w:color w:val="1A1A1A"/>
                <w:sz w:val="21"/>
                <w:szCs w:val="21"/>
              </w:rPr>
              <w:t>SSH / FTP clients</w:t>
            </w:r>
          </w:p>
        </w:tc>
        <w:tc>
          <w:tcPr>
            <w:tcW w:w="6000" w:type="dxa"/>
            <w:shd w:val="clear" w:color="auto" w:fill="FFFFFF"/>
            <w:tcMar>
              <w:top w:w="80" w:type="dxa"/>
              <w:left w:w="120" w:type="dxa"/>
              <w:bottom w:w="80" w:type="dxa"/>
              <w:right w:w="120" w:type="dxa"/>
            </w:tcMar>
            <w:vAlign w:val="center"/>
          </w:tcPr>
          <w:p w14:paraId="35D78A82">
            <w:pPr>
              <w:jc w:val="left"/>
            </w:pPr>
            <w:r>
              <w:rPr>
                <w:rFonts w:ascii="Calibri" w:hAnsi="Calibri" w:eastAsia="Calibri" w:cs="Calibri"/>
                <w:b w:val="0"/>
                <w:bCs w:val="0"/>
                <w:color w:val="1A1A1A"/>
                <w:sz w:val="21"/>
                <w:szCs w:val="21"/>
              </w:rPr>
              <w:t>Interacting with exposed services during enumeration</w:t>
            </w:r>
          </w:p>
        </w:tc>
      </w:tr>
      <w:tr w14:paraId="050E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F2F4F7"/>
            <w:tcMar>
              <w:top w:w="80" w:type="dxa"/>
              <w:left w:w="120" w:type="dxa"/>
              <w:bottom w:w="80" w:type="dxa"/>
              <w:right w:w="120" w:type="dxa"/>
            </w:tcMar>
            <w:vAlign w:val="center"/>
          </w:tcPr>
          <w:p w14:paraId="22E59D12">
            <w:pPr>
              <w:jc w:val="left"/>
            </w:pPr>
            <w:r>
              <w:rPr>
                <w:rFonts w:ascii="Calibri" w:hAnsi="Calibri" w:eastAsia="Calibri" w:cs="Calibri"/>
                <w:b w:val="0"/>
                <w:bCs w:val="0"/>
                <w:color w:val="1A1A1A"/>
                <w:sz w:val="21"/>
                <w:szCs w:val="21"/>
              </w:rPr>
              <w:t>chmod / chown</w:t>
            </w:r>
          </w:p>
        </w:tc>
        <w:tc>
          <w:tcPr>
            <w:tcW w:w="6000" w:type="dxa"/>
            <w:shd w:val="clear" w:color="auto" w:fill="F2F4F7"/>
            <w:tcMar>
              <w:top w:w="80" w:type="dxa"/>
              <w:left w:w="120" w:type="dxa"/>
              <w:bottom w:w="80" w:type="dxa"/>
              <w:right w:w="120" w:type="dxa"/>
            </w:tcMar>
            <w:vAlign w:val="center"/>
          </w:tcPr>
          <w:p w14:paraId="1333A58B">
            <w:pPr>
              <w:jc w:val="left"/>
            </w:pPr>
            <w:r>
              <w:rPr>
                <w:rFonts w:ascii="Calibri" w:hAnsi="Calibri" w:eastAsia="Calibri" w:cs="Calibri"/>
                <w:b w:val="0"/>
                <w:bCs w:val="0"/>
                <w:color w:val="1A1A1A"/>
                <w:sz w:val="21"/>
                <w:szCs w:val="21"/>
              </w:rPr>
              <w:t>Auditing and demonstrating Linux file permission and ownership controls</w:t>
            </w:r>
          </w:p>
        </w:tc>
      </w:tr>
    </w:tbl>
    <w:p w14:paraId="46351CED">
      <w:pPr>
        <w:spacing w:after="200"/>
      </w:pPr>
    </w:p>
    <w:p w14:paraId="4B54B165">
      <w:pPr>
        <w:pStyle w:val="2"/>
        <w:spacing w:before="300" w:after="150"/>
      </w:pPr>
      <w:r>
        <w:rPr>
          <w:rFonts w:ascii="Calibri" w:hAnsi="Calibri" w:eastAsia="Calibri" w:cs="Calibri"/>
          <w:b/>
          <w:bCs/>
          <w:color w:val="071427"/>
        </w:rPr>
        <w:t>6. HTB Module Summaries</w:t>
      </w:r>
    </w:p>
    <w:p w14:paraId="6DEC920C">
      <w:pPr>
        <w:spacing w:after="120"/>
      </w:pPr>
      <w:r>
        <w:rPr>
          <w:rFonts w:ascii="Calibri" w:hAnsi="Calibri" w:eastAsia="Calibri" w:cs="Calibri"/>
          <w:sz w:val="22"/>
          <w:szCs w:val="22"/>
        </w:rPr>
        <w:t>The three modules were completed in the order supplied for this assignment:</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300"/>
        <w:gridCol w:w="1500"/>
      </w:tblGrid>
      <w:tr w14:paraId="7EB3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071427"/>
            <w:tcMar>
              <w:top w:w="80" w:type="dxa"/>
              <w:left w:w="120" w:type="dxa"/>
              <w:bottom w:w="80" w:type="dxa"/>
              <w:right w:w="120" w:type="dxa"/>
            </w:tcMar>
            <w:vAlign w:val="center"/>
          </w:tcPr>
          <w:p w14:paraId="73355C68">
            <w:pPr>
              <w:jc w:val="left"/>
            </w:pPr>
            <w:r>
              <w:rPr>
                <w:rFonts w:ascii="Calibri" w:hAnsi="Calibri" w:eastAsia="Calibri" w:cs="Calibri"/>
                <w:b/>
                <w:bCs/>
                <w:color w:val="FFFFFF"/>
                <w:sz w:val="21"/>
                <w:szCs w:val="21"/>
              </w:rPr>
              <w:t>Order</w:t>
            </w:r>
          </w:p>
        </w:tc>
        <w:tc>
          <w:tcPr>
            <w:tcW w:w="6300" w:type="dxa"/>
            <w:shd w:val="clear" w:color="auto" w:fill="071427"/>
            <w:tcMar>
              <w:top w:w="80" w:type="dxa"/>
              <w:left w:w="120" w:type="dxa"/>
              <w:bottom w:w="80" w:type="dxa"/>
              <w:right w:w="120" w:type="dxa"/>
            </w:tcMar>
            <w:vAlign w:val="center"/>
          </w:tcPr>
          <w:p w14:paraId="708A139A">
            <w:pPr>
              <w:jc w:val="left"/>
            </w:pPr>
            <w:r>
              <w:rPr>
                <w:rFonts w:ascii="Calibri" w:hAnsi="Calibri" w:eastAsia="Calibri" w:cs="Calibri"/>
                <w:b/>
                <w:bCs/>
                <w:color w:val="FFFFFF"/>
                <w:sz w:val="21"/>
                <w:szCs w:val="21"/>
              </w:rPr>
              <w:t>Resource</w:t>
            </w:r>
          </w:p>
        </w:tc>
        <w:tc>
          <w:tcPr>
            <w:tcW w:w="1500" w:type="dxa"/>
            <w:shd w:val="clear" w:color="auto" w:fill="071427"/>
            <w:tcMar>
              <w:top w:w="80" w:type="dxa"/>
              <w:left w:w="120" w:type="dxa"/>
              <w:bottom w:w="80" w:type="dxa"/>
              <w:right w:w="120" w:type="dxa"/>
            </w:tcMar>
            <w:vAlign w:val="center"/>
          </w:tcPr>
          <w:p w14:paraId="2AB7883F">
            <w:pPr>
              <w:jc w:val="left"/>
            </w:pPr>
            <w:r>
              <w:rPr>
                <w:rFonts w:ascii="Calibri" w:hAnsi="Calibri" w:eastAsia="Calibri" w:cs="Calibri"/>
                <w:b/>
                <w:bCs/>
                <w:color w:val="FFFFFF"/>
                <w:sz w:val="21"/>
                <w:szCs w:val="21"/>
              </w:rPr>
              <w:t>Status</w:t>
            </w:r>
          </w:p>
        </w:tc>
      </w:tr>
      <w:tr w14:paraId="20F8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FFFFF"/>
            <w:tcMar>
              <w:top w:w="80" w:type="dxa"/>
              <w:left w:w="120" w:type="dxa"/>
              <w:bottom w:w="80" w:type="dxa"/>
              <w:right w:w="120" w:type="dxa"/>
            </w:tcMar>
            <w:vAlign w:val="center"/>
          </w:tcPr>
          <w:p w14:paraId="2B55DA18">
            <w:pPr>
              <w:jc w:val="left"/>
            </w:pPr>
            <w:r>
              <w:rPr>
                <w:rFonts w:ascii="Calibri" w:hAnsi="Calibri" w:eastAsia="Calibri" w:cs="Calibri"/>
                <w:b w:val="0"/>
                <w:bCs w:val="0"/>
                <w:color w:val="1A1A1A"/>
                <w:sz w:val="21"/>
                <w:szCs w:val="21"/>
              </w:rPr>
              <w:t>1</w:t>
            </w:r>
          </w:p>
        </w:tc>
        <w:tc>
          <w:tcPr>
            <w:tcW w:w="6300" w:type="dxa"/>
            <w:shd w:val="clear" w:color="auto" w:fill="FFFFFF"/>
            <w:tcMar>
              <w:top w:w="80" w:type="dxa"/>
              <w:left w:w="120" w:type="dxa"/>
              <w:bottom w:w="80" w:type="dxa"/>
              <w:right w:w="120" w:type="dxa"/>
            </w:tcMar>
            <w:vAlign w:val="center"/>
          </w:tcPr>
          <w:p w14:paraId="36258CAB">
            <w:pPr>
              <w:jc w:val="left"/>
            </w:pPr>
            <w:r>
              <w:rPr>
                <w:rFonts w:ascii="Calibri" w:hAnsi="Calibri" w:eastAsia="Calibri" w:cs="Calibri"/>
                <w:b w:val="0"/>
                <w:bCs w:val="0"/>
                <w:color w:val="1A1A1A"/>
                <w:sz w:val="21"/>
                <w:szCs w:val="21"/>
              </w:rPr>
              <w:t>HTB Academy Module 296 — Pentest in a Nutshell</w:t>
            </w:r>
          </w:p>
        </w:tc>
        <w:tc>
          <w:tcPr>
            <w:tcW w:w="1500" w:type="dxa"/>
            <w:shd w:val="clear" w:color="auto" w:fill="FFFFFF"/>
            <w:tcMar>
              <w:top w:w="80" w:type="dxa"/>
              <w:left w:w="120" w:type="dxa"/>
              <w:bottom w:w="80" w:type="dxa"/>
              <w:right w:w="120" w:type="dxa"/>
            </w:tcMar>
            <w:vAlign w:val="center"/>
          </w:tcPr>
          <w:p w14:paraId="45461D01">
            <w:pPr>
              <w:jc w:val="left"/>
            </w:pPr>
            <w:r>
              <w:rPr>
                <w:rFonts w:ascii="Calibri" w:hAnsi="Calibri" w:eastAsia="Calibri" w:cs="Calibri"/>
                <w:b w:val="0"/>
                <w:bCs w:val="0"/>
                <w:color w:val="1A1A1A"/>
                <w:sz w:val="21"/>
                <w:szCs w:val="21"/>
              </w:rPr>
              <w:t>Completed</w:t>
            </w:r>
          </w:p>
        </w:tc>
      </w:tr>
      <w:tr w14:paraId="4B87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2F4F7"/>
            <w:tcMar>
              <w:top w:w="80" w:type="dxa"/>
              <w:left w:w="120" w:type="dxa"/>
              <w:bottom w:w="80" w:type="dxa"/>
              <w:right w:w="120" w:type="dxa"/>
            </w:tcMar>
            <w:vAlign w:val="center"/>
          </w:tcPr>
          <w:p w14:paraId="662E4D4C">
            <w:pPr>
              <w:jc w:val="left"/>
            </w:pPr>
            <w:r>
              <w:rPr>
                <w:rFonts w:ascii="Calibri" w:hAnsi="Calibri" w:eastAsia="Calibri" w:cs="Calibri"/>
                <w:b w:val="0"/>
                <w:bCs w:val="0"/>
                <w:color w:val="1A1A1A"/>
                <w:sz w:val="21"/>
                <w:szCs w:val="21"/>
              </w:rPr>
              <w:t>2</w:t>
            </w:r>
          </w:p>
        </w:tc>
        <w:tc>
          <w:tcPr>
            <w:tcW w:w="6300" w:type="dxa"/>
            <w:shd w:val="clear" w:color="auto" w:fill="F2F4F7"/>
            <w:tcMar>
              <w:top w:w="80" w:type="dxa"/>
              <w:left w:w="120" w:type="dxa"/>
              <w:bottom w:w="80" w:type="dxa"/>
              <w:right w:w="120" w:type="dxa"/>
            </w:tcMar>
            <w:vAlign w:val="center"/>
          </w:tcPr>
          <w:p w14:paraId="3FF13485">
            <w:pPr>
              <w:jc w:val="left"/>
            </w:pPr>
            <w:r>
              <w:rPr>
                <w:rFonts w:ascii="Calibri" w:hAnsi="Calibri" w:eastAsia="Calibri" w:cs="Calibri"/>
                <w:b w:val="0"/>
                <w:bCs w:val="0"/>
                <w:color w:val="1A1A1A"/>
                <w:sz w:val="21"/>
                <w:szCs w:val="21"/>
              </w:rPr>
              <w:t>HTB Academy Module 77 — Getting Started</w:t>
            </w:r>
          </w:p>
        </w:tc>
        <w:tc>
          <w:tcPr>
            <w:tcW w:w="1500" w:type="dxa"/>
            <w:shd w:val="clear" w:color="auto" w:fill="F2F4F7"/>
            <w:tcMar>
              <w:top w:w="80" w:type="dxa"/>
              <w:left w:w="120" w:type="dxa"/>
              <w:bottom w:w="80" w:type="dxa"/>
              <w:right w:w="120" w:type="dxa"/>
            </w:tcMar>
            <w:vAlign w:val="center"/>
          </w:tcPr>
          <w:p w14:paraId="506119F0">
            <w:pPr>
              <w:jc w:val="left"/>
            </w:pPr>
            <w:r>
              <w:rPr>
                <w:rFonts w:ascii="Calibri" w:hAnsi="Calibri" w:eastAsia="Calibri" w:cs="Calibri"/>
                <w:b w:val="0"/>
                <w:bCs w:val="0"/>
                <w:color w:val="1A1A1A"/>
                <w:sz w:val="21"/>
                <w:szCs w:val="21"/>
              </w:rPr>
              <w:t>Completed</w:t>
            </w:r>
          </w:p>
        </w:tc>
      </w:tr>
      <w:tr w14:paraId="30D2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FFFFF"/>
            <w:tcMar>
              <w:top w:w="80" w:type="dxa"/>
              <w:left w:w="120" w:type="dxa"/>
              <w:bottom w:w="80" w:type="dxa"/>
              <w:right w:w="120" w:type="dxa"/>
            </w:tcMar>
            <w:vAlign w:val="center"/>
          </w:tcPr>
          <w:p w14:paraId="1F80AE66">
            <w:pPr>
              <w:jc w:val="left"/>
            </w:pPr>
            <w:r>
              <w:rPr>
                <w:rFonts w:ascii="Calibri" w:hAnsi="Calibri" w:eastAsia="Calibri" w:cs="Calibri"/>
                <w:b w:val="0"/>
                <w:bCs w:val="0"/>
                <w:color w:val="1A1A1A"/>
                <w:sz w:val="21"/>
                <w:szCs w:val="21"/>
              </w:rPr>
              <w:t>3</w:t>
            </w:r>
          </w:p>
        </w:tc>
        <w:tc>
          <w:tcPr>
            <w:tcW w:w="6300" w:type="dxa"/>
            <w:shd w:val="clear" w:color="auto" w:fill="FFFFFF"/>
            <w:tcMar>
              <w:top w:w="80" w:type="dxa"/>
              <w:left w:w="120" w:type="dxa"/>
              <w:bottom w:w="80" w:type="dxa"/>
              <w:right w:w="120" w:type="dxa"/>
            </w:tcMar>
            <w:vAlign w:val="center"/>
          </w:tcPr>
          <w:p w14:paraId="259AF17A">
            <w:pPr>
              <w:jc w:val="left"/>
            </w:pPr>
            <w:r>
              <w:rPr>
                <w:rFonts w:ascii="Calibri" w:hAnsi="Calibri" w:eastAsia="Calibri" w:cs="Calibri"/>
                <w:b w:val="0"/>
                <w:bCs w:val="0"/>
                <w:color w:val="1A1A1A"/>
                <w:sz w:val="21"/>
                <w:szCs w:val="21"/>
              </w:rPr>
              <w:t>HTB Academy Module 90 — substituted with Module 18, Linux Fundamentals (insufficient cubes for Module 90)</w:t>
            </w:r>
          </w:p>
        </w:tc>
        <w:tc>
          <w:tcPr>
            <w:tcW w:w="1500" w:type="dxa"/>
            <w:shd w:val="clear" w:color="auto" w:fill="FFFFFF"/>
            <w:tcMar>
              <w:top w:w="80" w:type="dxa"/>
              <w:left w:w="120" w:type="dxa"/>
              <w:bottom w:w="80" w:type="dxa"/>
              <w:right w:w="120" w:type="dxa"/>
            </w:tcMar>
            <w:vAlign w:val="center"/>
          </w:tcPr>
          <w:p w14:paraId="3878E976">
            <w:pPr>
              <w:jc w:val="left"/>
            </w:pPr>
            <w:r>
              <w:rPr>
                <w:rFonts w:ascii="Calibri" w:hAnsi="Calibri" w:eastAsia="Calibri" w:cs="Calibri"/>
                <w:b w:val="0"/>
                <w:bCs w:val="0"/>
                <w:color w:val="1A1A1A"/>
                <w:sz w:val="21"/>
                <w:szCs w:val="21"/>
              </w:rPr>
              <w:t>Completed (substitute)</w:t>
            </w:r>
          </w:p>
        </w:tc>
      </w:tr>
    </w:tbl>
    <w:p w14:paraId="0EA9A65E">
      <w:pPr>
        <w:spacing w:after="200"/>
      </w:pPr>
    </w:p>
    <w:p w14:paraId="35421373">
      <w:pPr>
        <w:pStyle w:val="3"/>
        <w:spacing w:before="300" w:after="150"/>
      </w:pPr>
      <w:r>
        <w:rPr>
          <w:rFonts w:ascii="Calibri" w:hAnsi="Calibri" w:eastAsia="Calibri" w:cs="Calibri"/>
          <w:b/>
          <w:bCs/>
          <w:color w:val="0987FF"/>
        </w:rPr>
        <w:t>Module 1 Record — Pentest in a Nutshell (HTB Module 296)</w:t>
      </w:r>
    </w:p>
    <w:p w14:paraId="6FAA3343">
      <w:pPr>
        <w:spacing w:after="100"/>
      </w:pPr>
      <w:r>
        <w:rPr>
          <w:rFonts w:ascii="Calibri" w:hAnsi="Calibri" w:eastAsia="Calibri" w:cs="Calibri"/>
          <w:b/>
          <w:bCs/>
          <w:color w:val="071427"/>
          <w:sz w:val="22"/>
          <w:szCs w:val="22"/>
        </w:rPr>
        <w:t xml:space="preserve">Module / Link: </w:t>
      </w:r>
      <w:r>
        <w:rPr>
          <w:rFonts w:ascii="Calibri" w:hAnsi="Calibri" w:eastAsia="Calibri" w:cs="Calibri"/>
          <w:color w:val="1A1A1A"/>
          <w:sz w:val="22"/>
          <w:szCs w:val="22"/>
        </w:rPr>
        <w:t>Pentest in a Nutshell — https://academy.hackthebox.com/app/module/296</w:t>
      </w:r>
    </w:p>
    <w:p w14:paraId="74E2BCC3">
      <w:pPr>
        <w:spacing w:after="100"/>
      </w:pPr>
      <w:r>
        <w:rPr>
          <w:rFonts w:ascii="Calibri" w:hAnsi="Calibri" w:eastAsia="Calibri" w:cs="Calibri"/>
          <w:b/>
          <w:bCs/>
          <w:color w:val="071427"/>
          <w:sz w:val="22"/>
          <w:szCs w:val="22"/>
        </w:rPr>
        <w:t xml:space="preserve">Date completed: </w:t>
      </w:r>
      <w:r>
        <w:rPr>
          <w:rFonts w:ascii="Calibri" w:hAnsi="Calibri" w:eastAsia="Calibri" w:cs="Calibri"/>
          <w:color w:val="1A1A1A"/>
          <w:sz w:val="22"/>
          <w:szCs w:val="22"/>
        </w:rPr>
        <w:t>September 11, 2026</w:t>
      </w:r>
    </w:p>
    <w:p w14:paraId="330A8885">
      <w:pPr>
        <w:spacing w:after="100"/>
      </w:pPr>
      <w:r>
        <w:rPr>
          <w:rFonts w:ascii="Calibri" w:hAnsi="Calibri" w:eastAsia="Calibri" w:cs="Calibri"/>
          <w:b/>
          <w:bCs/>
          <w:color w:val="071427"/>
          <w:sz w:val="22"/>
          <w:szCs w:val="22"/>
        </w:rPr>
        <w:t xml:space="preserve">What is this module mainly about?: </w:t>
      </w:r>
      <w:r>
        <w:rPr>
          <w:rFonts w:ascii="Calibri" w:hAnsi="Calibri" w:eastAsia="Calibri" w:cs="Calibri"/>
          <w:color w:val="1A1A1A"/>
          <w:sz w:val="22"/>
          <w:szCs w:val="22"/>
        </w:rPr>
        <w:t>This module introduces the comprehensive penetration testing process (pre-engagement to post-engagement). It demonstrates a realistic, cyclical methodology for enumerating, exploiting, and escalating privileges across both Linux and Windows environments using industry-standard tools.</w:t>
      </w:r>
    </w:p>
    <w:p w14:paraId="722BBD3E">
      <w:pPr>
        <w:spacing w:after="100"/>
      </w:pPr>
      <w:r>
        <w:rPr>
          <w:rFonts w:ascii="Calibri" w:hAnsi="Calibri" w:eastAsia="Calibri" w:cs="Calibri"/>
          <w:b/>
          <w:bCs/>
          <w:color w:val="071427"/>
          <w:sz w:val="22"/>
          <w:szCs w:val="22"/>
        </w:rPr>
        <w:t xml:space="preserve">Three key concepts learned: </w:t>
      </w:r>
    </w:p>
    <w:p w14:paraId="37ED6963">
      <w:pPr>
        <w:pStyle w:val="16"/>
        <w:numPr>
          <w:ilvl w:val="0"/>
          <w:numId w:val="1"/>
        </w:numPr>
        <w:spacing w:after="80"/>
      </w:pPr>
      <w:r>
        <w:rPr>
          <w:rFonts w:ascii="Calibri" w:hAnsi="Calibri" w:eastAsia="Calibri" w:cs="Calibri"/>
          <w:sz w:val="22"/>
          <w:szCs w:val="22"/>
        </w:rPr>
        <w:t>The PT lifecycle is cyclical: information gathering feeds vulnerability assessment, and post-exploitation often loops back to further enumeration (e.g., finding new credentials to pivot).</w:t>
      </w:r>
    </w:p>
    <w:p w14:paraId="6EF9E960">
      <w:pPr>
        <w:pStyle w:val="16"/>
        <w:numPr>
          <w:ilvl w:val="0"/>
          <w:numId w:val="1"/>
        </w:numPr>
        <w:spacing w:after="80"/>
      </w:pPr>
      <w:r>
        <w:rPr>
          <w:rFonts w:ascii="Calibri" w:hAnsi="Calibri" w:eastAsia="Calibri" w:cs="Calibri"/>
          <w:sz w:val="22"/>
          <w:szCs w:val="22"/>
        </w:rPr>
        <w:t>Configuration flaws drive exploitation: initial access and privilege escalation frequently rely on administrative misconfigurations (like anonymous FTP access or NOPASSWD sudo rights) rather than complex zero-day exploits.</w:t>
      </w:r>
    </w:p>
    <w:p w14:paraId="0EB23A3A">
      <w:pPr>
        <w:pStyle w:val="16"/>
        <w:numPr>
          <w:ilvl w:val="0"/>
          <w:numId w:val="1"/>
        </w:numPr>
        <w:spacing w:after="80"/>
      </w:pPr>
      <w:r>
        <w:rPr>
          <w:rFonts w:ascii="Calibri" w:hAnsi="Calibri" w:eastAsia="Calibri" w:cs="Calibri"/>
          <w:sz w:val="22"/>
          <w:szCs w:val="22"/>
        </w:rPr>
        <w:t>Automated enumeration: leveraging scripts like LinPEAS, winPEAS, and CrackMapExec is critical for rapidly identifying vulnerable kernel versions, exposed SMB shares, and privilege escalation vectors.</w:t>
      </w:r>
    </w:p>
    <w:p w14:paraId="4466B30E">
      <w:pPr>
        <w:spacing w:after="100"/>
      </w:pPr>
      <w:r>
        <w:rPr>
          <w:rFonts w:ascii="Calibri" w:hAnsi="Calibri" w:eastAsia="Calibri" w:cs="Calibri"/>
          <w:b/>
          <w:bCs/>
          <w:color w:val="071427"/>
          <w:sz w:val="22"/>
          <w:szCs w:val="22"/>
        </w:rPr>
        <w:t xml:space="preserve">One tool/command learned: </w:t>
      </w:r>
      <w:r>
        <w:rPr>
          <w:rFonts w:ascii="Calibri" w:hAnsi="Calibri" w:eastAsia="Calibri" w:cs="Calibri"/>
          <w:color w:val="1A1A1A"/>
          <w:sz w:val="22"/>
          <w:szCs w:val="22"/>
        </w:rPr>
        <w:t>nmap -sVC -p- &lt;target&gt; -T4 -vv — used to perform a highly verbose, aggressive scan across all 65,535 TCP ports, executing default NSE scripts and detecting specific service versions.</w:t>
      </w:r>
    </w:p>
    <w:p w14:paraId="1E8AEC80">
      <w:pPr>
        <w:spacing w:after="100"/>
      </w:pPr>
      <w:r>
        <w:rPr>
          <w:rFonts w:ascii="Calibri" w:hAnsi="Calibri" w:eastAsia="Calibri" w:cs="Calibri"/>
          <w:b/>
          <w:bCs/>
          <w:color w:val="071427"/>
          <w:sz w:val="22"/>
          <w:szCs w:val="22"/>
        </w:rPr>
        <w:t xml:space="preserve">One security issue/attack concept understood: </w:t>
      </w:r>
      <w:r>
        <w:rPr>
          <w:rFonts w:ascii="Calibri" w:hAnsi="Calibri" w:eastAsia="Calibri" w:cs="Calibri"/>
          <w:color w:val="1A1A1A"/>
          <w:sz w:val="22"/>
          <w:szCs w:val="22"/>
        </w:rPr>
        <w:t>Information disclosure &amp; credential reuse. Leaving sensitive files (like .bash_history containing cleartext passwords or id_rsa SSH keys) in exposed directories allows attackers to easily establish initial access and move laterally.</w:t>
      </w:r>
    </w:p>
    <w:p w14:paraId="069600FD">
      <w:pPr>
        <w:spacing w:after="100"/>
      </w:pPr>
      <w:r>
        <w:rPr>
          <w:rFonts w:ascii="Calibri" w:hAnsi="Calibri" w:eastAsia="Calibri" w:cs="Calibri"/>
          <w:b/>
          <w:bCs/>
          <w:color w:val="071427"/>
          <w:sz w:val="22"/>
          <w:szCs w:val="22"/>
        </w:rPr>
        <w:t xml:space="preserve">What did you observe in the authorized lab?: </w:t>
      </w:r>
      <w:r>
        <w:rPr>
          <w:rFonts w:ascii="Calibri" w:hAnsi="Calibri" w:eastAsia="Calibri" w:cs="Calibri"/>
          <w:color w:val="1A1A1A"/>
          <w:sz w:val="22"/>
          <w:szCs w:val="22"/>
        </w:rPr>
        <w:t>An exposed FTP server allowing anonymous login was identified, which leaked project notes and a full_backup.tar.gz path. Further enumeration revealed an exposed id_rsa key and cleartext passwords in .bash_history. Metasploit (wp_hash_form_rce) was used for initial Linux access, privileges were escalated to root by exploiting nano sudo privileges, and CrackMapExec was later used to spider Windows SMB shares (Devs) to extract PowerShell scripts containing further credentials.</w:t>
      </w:r>
    </w:p>
    <w:p w14:paraId="37F14B7B">
      <w:pPr>
        <w:spacing w:after="100"/>
      </w:pPr>
      <w:r>
        <w:rPr>
          <w:rFonts w:ascii="Calibri" w:hAnsi="Calibri" w:eastAsia="Calibri" w:cs="Calibri"/>
          <w:b/>
          <w:bCs/>
          <w:color w:val="071427"/>
          <w:sz w:val="22"/>
          <w:szCs w:val="22"/>
        </w:rPr>
        <w:t xml:space="preserve">What defensive lesson did you learn?: </w:t>
      </w:r>
      <w:r>
        <w:rPr>
          <w:rFonts w:ascii="Calibri" w:hAnsi="Calibri" w:eastAsia="Calibri" w:cs="Calibri"/>
          <w:color w:val="1A1A1A"/>
          <w:sz w:val="22"/>
          <w:szCs w:val="22"/>
        </w:rPr>
        <w:t>Disable anonymous FTP access immediately, strictly enforce the principle of least privilege for sudo binaries (never allow text editors like nano to run as root without restrictions), and never store hardcoded credentials in scripts or command history.</w:t>
      </w:r>
    </w:p>
    <w:p w14:paraId="119EA739">
      <w:pPr>
        <w:spacing w:after="100"/>
      </w:pPr>
      <w:r>
        <w:rPr>
          <w:rFonts w:ascii="Calibri" w:hAnsi="Calibri" w:eastAsia="Calibri" w:cs="Calibri"/>
          <w:b/>
          <w:bCs/>
          <w:color w:val="071427"/>
          <w:sz w:val="22"/>
          <w:szCs w:val="22"/>
        </w:rPr>
        <w:t xml:space="preserve">Screenshot numbers: </w:t>
      </w:r>
      <w:r>
        <w:rPr>
          <w:rFonts w:ascii="Calibri" w:hAnsi="Calibri" w:eastAsia="Calibri" w:cs="Calibri"/>
          <w:color w:val="1A1A1A"/>
          <w:sz w:val="22"/>
          <w:szCs w:val="22"/>
        </w:rPr>
        <w:t>Figure 1 (Question answer — FTP enumeration), Figure 2 (Module completion)</w:t>
      </w:r>
    </w:p>
    <w:p w14:paraId="399F4959">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857500"/>
                    </a:xfrm>
                    <a:prstGeom prst="rect">
                      <a:avLst/>
                    </a:prstGeom>
                  </pic:spPr>
                </pic:pic>
              </a:graphicData>
            </a:graphic>
          </wp:inline>
        </w:drawing>
      </w:r>
    </w:p>
    <w:p w14:paraId="175C11CC">
      <w:pPr>
        <w:spacing w:after="200"/>
        <w:jc w:val="center"/>
      </w:pPr>
      <w:r>
        <w:rPr>
          <w:rFonts w:ascii="Calibri" w:hAnsi="Calibri" w:eastAsia="Calibri" w:cs="Calibri"/>
          <w:i/>
          <w:iCs/>
          <w:color w:val="5A5A5A"/>
          <w:sz w:val="19"/>
          <w:szCs w:val="19"/>
        </w:rPr>
        <w:t>Figure 1 — Pentest in a Nutshell: authorized-lab exercise answer confirmed (FTP-derived file discovery).</w:t>
      </w:r>
    </w:p>
    <w:p w14:paraId="3502D24C">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2857500"/>
                    </a:xfrm>
                    <a:prstGeom prst="rect">
                      <a:avLst/>
                    </a:prstGeom>
                  </pic:spPr>
                </pic:pic>
              </a:graphicData>
            </a:graphic>
          </wp:inline>
        </w:drawing>
      </w:r>
    </w:p>
    <w:p w14:paraId="04DFE185">
      <w:pPr>
        <w:pBdr>
          <w:top w:val="single" w:color="0987FF" w:sz="6" w:space="0"/>
          <w:left w:val="single" w:color="0987FF" w:sz="6" w:space="0"/>
          <w:bottom w:val="single" w:color="0987FF" w:sz="6" w:space="0"/>
          <w:right w:val="single" w:color="0987FF" w:sz="6" w:space="0"/>
        </w:pBdr>
        <w:spacing w:before="150" w:after="60"/>
        <w:jc w:val="center"/>
      </w:pPr>
    </w:p>
    <w:p w14:paraId="2D1D66AB">
      <w:pPr>
        <w:pBdr>
          <w:top w:val="single" w:color="0987FF" w:sz="6" w:space="0"/>
          <w:left w:val="single" w:color="0987FF" w:sz="6" w:space="0"/>
          <w:bottom w:val="single" w:color="0987FF" w:sz="6" w:space="0"/>
          <w:right w:val="single" w:color="0987FF" w:sz="6" w:space="0"/>
        </w:pBdr>
        <w:spacing w:before="150" w:after="60"/>
        <w:jc w:val="center"/>
      </w:pPr>
    </w:p>
    <w:p w14:paraId="66F2EA2B">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Figure 2 — Evidence of the completed Pentest in a Nutshell module.</w:t>
      </w:r>
    </w:p>
    <w:p w14:paraId="60ED0AEF">
      <w:pPr>
        <w:spacing w:after="200"/>
        <w:jc w:val="center"/>
        <w:rPr>
          <w:rFonts w:ascii="Calibri" w:hAnsi="Calibri" w:eastAsia="Calibri" w:cs="Calibri"/>
          <w:i/>
          <w:iCs/>
          <w:color w:val="5A5A5A"/>
          <w:sz w:val="19"/>
          <w:szCs w:val="19"/>
        </w:rPr>
      </w:pPr>
    </w:p>
    <w:p w14:paraId="2C2E94E5">
      <w:pPr>
        <w:spacing w:after="200"/>
        <w:jc w:val="center"/>
        <w:rPr>
          <w:rFonts w:ascii="Calibri" w:hAnsi="Calibri" w:eastAsia="Calibri" w:cs="Calibri"/>
          <w:i/>
          <w:iCs/>
          <w:color w:val="5A5A5A"/>
          <w:sz w:val="19"/>
          <w:szCs w:val="19"/>
        </w:rPr>
      </w:pPr>
    </w:p>
    <w:p w14:paraId="5BBF7BB5">
      <w:pPr>
        <w:spacing w:after="200"/>
        <w:jc w:val="center"/>
        <w:rPr>
          <w:rFonts w:ascii="Calibri" w:hAnsi="Calibri" w:eastAsia="Calibri" w:cs="Calibri"/>
          <w:i/>
          <w:iCs/>
          <w:color w:val="5A5A5A"/>
          <w:sz w:val="19"/>
          <w:szCs w:val="19"/>
        </w:rPr>
      </w:pPr>
    </w:p>
    <w:p w14:paraId="03FBF0E2">
      <w:pPr>
        <w:spacing w:after="200"/>
        <w:jc w:val="center"/>
        <w:rPr>
          <w:rFonts w:ascii="Calibri" w:hAnsi="Calibri" w:eastAsia="Calibri" w:cs="Calibri"/>
          <w:i/>
          <w:iCs/>
          <w:color w:val="5A5A5A"/>
          <w:sz w:val="19"/>
          <w:szCs w:val="19"/>
        </w:rPr>
      </w:pPr>
    </w:p>
    <w:p w14:paraId="143FD805">
      <w:pPr>
        <w:spacing w:after="200"/>
        <w:jc w:val="center"/>
        <w:rPr>
          <w:rFonts w:ascii="Calibri" w:hAnsi="Calibri" w:eastAsia="Calibri" w:cs="Calibri"/>
          <w:i/>
          <w:iCs/>
          <w:color w:val="5A5A5A"/>
          <w:sz w:val="19"/>
          <w:szCs w:val="19"/>
        </w:rPr>
      </w:pPr>
    </w:p>
    <w:p w14:paraId="647D8547">
      <w:pPr>
        <w:pStyle w:val="3"/>
        <w:spacing w:before="300" w:after="150"/>
      </w:pPr>
      <w:r>
        <w:rPr>
          <w:rFonts w:ascii="Calibri" w:hAnsi="Calibri" w:eastAsia="Calibri" w:cs="Calibri"/>
          <w:b/>
          <w:bCs/>
          <w:color w:val="0987FF"/>
        </w:rPr>
        <w:t>Module 2 Record — Getting Started (HTB Module 77)</w:t>
      </w:r>
    </w:p>
    <w:p w14:paraId="4E00F63F">
      <w:pPr>
        <w:spacing w:after="100"/>
      </w:pPr>
      <w:r>
        <w:rPr>
          <w:rFonts w:ascii="Calibri" w:hAnsi="Calibri" w:eastAsia="Calibri" w:cs="Calibri"/>
          <w:b/>
          <w:bCs/>
          <w:color w:val="071427"/>
          <w:sz w:val="22"/>
          <w:szCs w:val="22"/>
        </w:rPr>
        <w:t xml:space="preserve">Module / Link: </w:t>
      </w:r>
      <w:r>
        <w:rPr>
          <w:rFonts w:ascii="Calibri" w:hAnsi="Calibri" w:eastAsia="Calibri" w:cs="Calibri"/>
          <w:color w:val="1A1A1A"/>
          <w:sz w:val="22"/>
          <w:szCs w:val="22"/>
        </w:rPr>
        <w:t>Getting Started — https://academy.hackthebox.com/app/module/77</w:t>
      </w:r>
    </w:p>
    <w:p w14:paraId="46BE903B">
      <w:pPr>
        <w:spacing w:after="100"/>
      </w:pPr>
      <w:r>
        <w:rPr>
          <w:rFonts w:ascii="Calibri" w:hAnsi="Calibri" w:eastAsia="Calibri" w:cs="Calibri"/>
          <w:b/>
          <w:bCs/>
          <w:color w:val="071427"/>
          <w:sz w:val="22"/>
          <w:szCs w:val="22"/>
        </w:rPr>
        <w:t xml:space="preserve">Date completed: </w:t>
      </w:r>
      <w:r>
        <w:rPr>
          <w:rFonts w:ascii="Calibri" w:hAnsi="Calibri" w:eastAsia="Calibri" w:cs="Calibri"/>
          <w:color w:val="1A1A1A"/>
          <w:sz w:val="22"/>
          <w:szCs w:val="22"/>
        </w:rPr>
        <w:t>September 12, 2026</w:t>
      </w:r>
    </w:p>
    <w:p w14:paraId="1DA88F0F">
      <w:pPr>
        <w:spacing w:after="100"/>
      </w:pPr>
      <w:r>
        <w:rPr>
          <w:rFonts w:ascii="Calibri" w:hAnsi="Calibri" w:eastAsia="Calibri" w:cs="Calibri"/>
          <w:b/>
          <w:bCs/>
          <w:color w:val="071427"/>
          <w:sz w:val="22"/>
          <w:szCs w:val="22"/>
        </w:rPr>
        <w:t xml:space="preserve">What is this module mainly about?: </w:t>
      </w:r>
      <w:r>
        <w:rPr>
          <w:rFonts w:ascii="Calibri" w:hAnsi="Calibri" w:eastAsia="Calibri" w:cs="Calibri"/>
          <w:color w:val="1A1A1A"/>
          <w:sz w:val="22"/>
          <w:szCs w:val="22"/>
        </w:rPr>
        <w:t>This foundational module covers the essential tools and methodologies required to transition from basic enumeration to full system compromise. It walks through setting up a testing environment, utilizing core tools (Netcat, Tmux, Vim, Nmap, Metasploit), identifying web-based vulnerabilities, and executing basic Linux privilege escalation.</w:t>
      </w:r>
    </w:p>
    <w:p w14:paraId="1390B1D8">
      <w:pPr>
        <w:spacing w:after="100"/>
      </w:pPr>
      <w:r>
        <w:rPr>
          <w:rFonts w:ascii="Calibri" w:hAnsi="Calibri" w:eastAsia="Calibri" w:cs="Calibri"/>
          <w:b/>
          <w:bCs/>
          <w:color w:val="071427"/>
          <w:sz w:val="22"/>
          <w:szCs w:val="22"/>
        </w:rPr>
        <w:t xml:space="preserve">Three key concepts learned: </w:t>
      </w:r>
    </w:p>
    <w:p w14:paraId="0197D657">
      <w:pPr>
        <w:pStyle w:val="16"/>
        <w:numPr>
          <w:ilvl w:val="0"/>
          <w:numId w:val="1"/>
        </w:numPr>
        <w:spacing w:after="80"/>
      </w:pPr>
      <w:r>
        <w:rPr>
          <w:rFonts w:ascii="Calibri" w:hAnsi="Calibri" w:eastAsia="Calibri" w:cs="Calibri"/>
          <w:sz w:val="22"/>
          <w:szCs w:val="22"/>
        </w:rPr>
        <w:t>Public exploit research: after enumerating service versions (e.g., using nmap -sV), searching databases like Exploit-DB or using searchsploit can reveal known vulnerabilities in outdated software.</w:t>
      </w:r>
    </w:p>
    <w:p w14:paraId="543353F3">
      <w:pPr>
        <w:pStyle w:val="16"/>
        <w:numPr>
          <w:ilvl w:val="0"/>
          <w:numId w:val="1"/>
        </w:numPr>
        <w:spacing w:after="80"/>
      </w:pPr>
      <w:r>
        <w:rPr>
          <w:rFonts w:ascii="Calibri" w:hAnsi="Calibri" w:eastAsia="Calibri" w:cs="Calibri"/>
          <w:sz w:val="22"/>
          <w:szCs w:val="22"/>
        </w:rPr>
        <w:t>Reverse shells: utilizing tools like Netcat to catch incoming connections from a compromised target allows for interactive command-line access over the network.</w:t>
      </w:r>
    </w:p>
    <w:p w14:paraId="68C139C1">
      <w:pPr>
        <w:pStyle w:val="16"/>
        <w:numPr>
          <w:ilvl w:val="0"/>
          <w:numId w:val="1"/>
        </w:numPr>
        <w:spacing w:after="80"/>
      </w:pPr>
      <w:r>
        <w:rPr>
          <w:rFonts w:ascii="Calibri" w:hAnsi="Calibri" w:eastAsia="Calibri" w:cs="Calibri"/>
          <w:sz w:val="22"/>
          <w:szCs w:val="22"/>
        </w:rPr>
        <w:t>Automated escalation checks: running enumeration scripts like LinEnum or LinPEAS on a compromised host quickly highlights local misconfigurations, such as insecure file permissions or dangerous sudo rights.</w:t>
      </w:r>
    </w:p>
    <w:p w14:paraId="59F23D26">
      <w:pPr>
        <w:spacing w:after="100"/>
      </w:pPr>
      <w:r>
        <w:rPr>
          <w:rFonts w:ascii="Calibri" w:hAnsi="Calibri" w:eastAsia="Calibri" w:cs="Calibri"/>
          <w:b/>
          <w:bCs/>
          <w:color w:val="071427"/>
          <w:sz w:val="22"/>
          <w:szCs w:val="22"/>
        </w:rPr>
        <w:t xml:space="preserve">One tool/command learned: </w:t>
      </w:r>
      <w:r>
        <w:rPr>
          <w:rFonts w:ascii="Calibri" w:hAnsi="Calibri" w:eastAsia="Calibri" w:cs="Calibri"/>
          <w:color w:val="1A1A1A"/>
          <w:sz w:val="22"/>
          <w:szCs w:val="22"/>
        </w:rPr>
        <w:t>python3 -c 'import pty; pty.spawn("/bin/bash")' — used to upgrade a basic, unstable reverse shell into a fully interactive TTY shell, allowing for command history, tab completion, and proper standard error output.</w:t>
      </w:r>
    </w:p>
    <w:p w14:paraId="5E66380A">
      <w:pPr>
        <w:spacing w:after="100"/>
      </w:pPr>
      <w:r>
        <w:rPr>
          <w:rFonts w:ascii="Calibri" w:hAnsi="Calibri" w:eastAsia="Calibri" w:cs="Calibri"/>
          <w:b/>
          <w:bCs/>
          <w:color w:val="071427"/>
          <w:sz w:val="22"/>
          <w:szCs w:val="22"/>
        </w:rPr>
        <w:t xml:space="preserve">One security issue/attack concept understood: </w:t>
      </w:r>
      <w:r>
        <w:rPr>
          <w:rFonts w:ascii="Calibri" w:hAnsi="Calibri" w:eastAsia="Calibri" w:cs="Calibri"/>
          <w:color w:val="1A1A1A"/>
          <w:sz w:val="22"/>
          <w:szCs w:val="22"/>
        </w:rPr>
        <w:t>Unrestricted file upload. If a web application allows users to upload files (like images or plugins) without strictly validating the file extension and content, an attacker can upload a malicious script (e.g., PHP) and execute it on the underlying server.</w:t>
      </w:r>
    </w:p>
    <w:p w14:paraId="30E34944">
      <w:pPr>
        <w:spacing w:after="100"/>
      </w:pPr>
      <w:r>
        <w:rPr>
          <w:rFonts w:ascii="Calibri" w:hAnsi="Calibri" w:eastAsia="Calibri" w:cs="Calibri"/>
          <w:b/>
          <w:bCs/>
          <w:color w:val="071427"/>
          <w:sz w:val="22"/>
          <w:szCs w:val="22"/>
        </w:rPr>
        <w:t xml:space="preserve">What did you observe in the authorized lab?: </w:t>
      </w:r>
      <w:r>
        <w:rPr>
          <w:rFonts w:ascii="Calibri" w:hAnsi="Calibri" w:eastAsia="Calibri" w:cs="Calibri"/>
          <w:color w:val="1A1A1A"/>
          <w:sz w:val="22"/>
          <w:szCs w:val="22"/>
        </w:rPr>
        <w:t>During the “Nibbles” target assessment, an outdated installation of Nibbleblog was observed. After discovering administrative credentials via directory enumeration, an authenticated file upload vulnerability was leveraged to upload a malicious PHP script, granting a reverse shell as the www-data user. Escalation to root followed by exploiting a misconfigured sudo policy that allowed the user to execute a writeable shell script (monitor.sh) with root privileges.</w:t>
      </w:r>
    </w:p>
    <w:p w14:paraId="5E321E30">
      <w:pPr>
        <w:spacing w:after="100"/>
      </w:pPr>
      <w:r>
        <w:rPr>
          <w:rFonts w:ascii="Calibri" w:hAnsi="Calibri" w:eastAsia="Calibri" w:cs="Calibri"/>
          <w:b/>
          <w:bCs/>
          <w:color w:val="071427"/>
          <w:sz w:val="22"/>
          <w:szCs w:val="22"/>
        </w:rPr>
        <w:t xml:space="preserve">What defensive lesson did you learn?: </w:t>
      </w:r>
      <w:r>
        <w:rPr>
          <w:rFonts w:ascii="Calibri" w:hAnsi="Calibri" w:eastAsia="Calibri" w:cs="Calibri"/>
          <w:color w:val="1A1A1A"/>
          <w:sz w:val="22"/>
          <w:szCs w:val="22"/>
        </w:rPr>
        <w:t>Never rely on client-side checks for file uploads; servers must strictly validate file types and store uploaded files in directories where script execution is disabled. Administrators must also adhere to the principle of least privilege when configuring /etc/sudoers.</w:t>
      </w:r>
    </w:p>
    <w:p w14:paraId="2CB15BA4">
      <w:pPr>
        <w:spacing w:after="100"/>
      </w:pPr>
      <w:r>
        <w:rPr>
          <w:rFonts w:ascii="Calibri" w:hAnsi="Calibri" w:eastAsia="Calibri" w:cs="Calibri"/>
          <w:b/>
          <w:bCs/>
          <w:color w:val="071427"/>
          <w:sz w:val="22"/>
          <w:szCs w:val="22"/>
        </w:rPr>
        <w:t xml:space="preserve">Screenshot numbers: </w:t>
      </w:r>
      <w:r>
        <w:rPr>
          <w:rFonts w:ascii="Calibri" w:hAnsi="Calibri" w:eastAsia="Calibri" w:cs="Calibri"/>
          <w:color w:val="1A1A1A"/>
          <w:sz w:val="22"/>
          <w:szCs w:val="22"/>
        </w:rPr>
        <w:t>Figure 3 (Basic Tools — Using SSH), Figure 4 (Module completion)</w:t>
      </w:r>
    </w:p>
    <w:p w14:paraId="14F1E17D">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2505075"/>
                    </a:xfrm>
                    <a:prstGeom prst="rect">
                      <a:avLst/>
                    </a:prstGeom>
                  </pic:spPr>
                </pic:pic>
              </a:graphicData>
            </a:graphic>
          </wp:inline>
        </w:drawing>
      </w:r>
    </w:p>
    <w:p w14:paraId="4C5572AB">
      <w:pPr>
        <w:spacing w:after="200"/>
        <w:jc w:val="center"/>
      </w:pPr>
      <w:r>
        <w:rPr>
          <w:rFonts w:ascii="Calibri" w:hAnsi="Calibri" w:eastAsia="Calibri" w:cs="Calibri"/>
          <w:i/>
          <w:iCs/>
          <w:color w:val="5A5A5A"/>
          <w:sz w:val="19"/>
          <w:szCs w:val="19"/>
        </w:rPr>
        <w:t>Figure 3 — Getting Started: Basic Tools section covering SSH, Netcat, Tmux, and Vim.</w:t>
      </w:r>
    </w:p>
    <w:p w14:paraId="6F87E716">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86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886075"/>
                    </a:xfrm>
                    <a:prstGeom prst="rect">
                      <a:avLst/>
                    </a:prstGeom>
                  </pic:spPr>
                </pic:pic>
              </a:graphicData>
            </a:graphic>
          </wp:inline>
        </w:drawing>
      </w:r>
    </w:p>
    <w:p w14:paraId="2692F3B2">
      <w:pPr>
        <w:spacing w:after="200"/>
        <w:jc w:val="center"/>
      </w:pPr>
      <w:r>
        <w:rPr>
          <w:rFonts w:ascii="Calibri" w:hAnsi="Calibri" w:eastAsia="Calibri" w:cs="Calibri"/>
          <w:i/>
          <w:iCs/>
          <w:color w:val="5A5A5A"/>
          <w:sz w:val="19"/>
          <w:szCs w:val="19"/>
        </w:rPr>
        <w:t>Figure 4 — Evidence of the completed Getting Started module.</w:t>
      </w:r>
    </w:p>
    <w:p w14:paraId="50592023">
      <w:pPr>
        <w:pStyle w:val="3"/>
        <w:spacing w:before="300" w:after="150"/>
      </w:pPr>
      <w:r>
        <w:rPr>
          <w:rFonts w:ascii="Calibri" w:hAnsi="Calibri" w:eastAsia="Calibri" w:cs="Calibri"/>
          <w:b/>
          <w:bCs/>
          <w:color w:val="0987FF"/>
        </w:rPr>
        <w:t>Module 3 Record — Linux Fundamentals (HTB Module 18) — substituted for Module 90</w:t>
      </w:r>
    </w:p>
    <w:p w14:paraId="17017E43">
      <w:pPr>
        <w:spacing w:after="100"/>
      </w:pPr>
      <w:r>
        <w:rPr>
          <w:rFonts w:ascii="Calibri" w:hAnsi="Calibri" w:eastAsia="Calibri" w:cs="Calibri"/>
          <w:b/>
          <w:bCs/>
          <w:color w:val="071427"/>
          <w:sz w:val="22"/>
          <w:szCs w:val="22"/>
        </w:rPr>
        <w:t xml:space="preserve">Module / Link: </w:t>
      </w:r>
      <w:r>
        <w:rPr>
          <w:rFonts w:ascii="Calibri" w:hAnsi="Calibri" w:eastAsia="Calibri" w:cs="Calibri"/>
          <w:color w:val="1A1A1A"/>
          <w:sz w:val="22"/>
          <w:szCs w:val="22"/>
        </w:rPr>
        <w:t>Linux Fundamentals — https://academy.hackthebox.com/app/module/18 (substituted for Module 90 due to insufficient HTB cubes to unlock Module 90 at the time of the assignment)</w:t>
      </w:r>
    </w:p>
    <w:p w14:paraId="3B25EF98">
      <w:pPr>
        <w:spacing w:after="100"/>
      </w:pPr>
      <w:r>
        <w:rPr>
          <w:rFonts w:ascii="Calibri" w:hAnsi="Calibri" w:eastAsia="Calibri" w:cs="Calibri"/>
          <w:b/>
          <w:bCs/>
          <w:color w:val="071427"/>
          <w:sz w:val="22"/>
          <w:szCs w:val="22"/>
        </w:rPr>
        <w:t xml:space="preserve">Date completed: </w:t>
      </w:r>
      <w:r>
        <w:rPr>
          <w:rFonts w:ascii="Calibri" w:hAnsi="Calibri" w:eastAsia="Calibri" w:cs="Calibri"/>
          <w:color w:val="1A1A1A"/>
          <w:sz w:val="22"/>
          <w:szCs w:val="22"/>
        </w:rPr>
        <w:t>September 13, 2026</w:t>
      </w:r>
    </w:p>
    <w:p w14:paraId="030A873D">
      <w:pPr>
        <w:spacing w:after="100"/>
        <w:rPr>
          <w:rFonts w:ascii="Calibri" w:hAnsi="Calibri" w:eastAsia="Calibri" w:cs="Calibri"/>
          <w:color w:val="1A1A1A"/>
          <w:sz w:val="22"/>
          <w:szCs w:val="22"/>
        </w:rPr>
      </w:pPr>
      <w:r>
        <w:rPr>
          <w:rFonts w:ascii="Calibri" w:hAnsi="Calibri" w:eastAsia="Calibri" w:cs="Calibri"/>
          <w:b/>
          <w:bCs/>
          <w:color w:val="071427"/>
          <w:sz w:val="22"/>
          <w:szCs w:val="22"/>
        </w:rPr>
        <w:t xml:space="preserve">What is this module mainly about?: </w:t>
      </w:r>
      <w:r>
        <w:rPr>
          <w:rFonts w:ascii="Calibri" w:hAnsi="Calibri" w:eastAsia="Calibri" w:cs="Calibri"/>
          <w:color w:val="1A1A1A"/>
          <w:sz w:val="22"/>
          <w:szCs w:val="22"/>
        </w:rPr>
        <w:t>This foundational module covers the Linux operating system's structure, architecture, and file system hierarchy. It provides the essential skills required for cybersecurity professionals to navigate the shell, manage packages, and control user permissions.</w:t>
      </w:r>
    </w:p>
    <w:p w14:paraId="2071EFE5">
      <w:pPr>
        <w:spacing w:after="100"/>
        <w:rPr>
          <w:rFonts w:ascii="Calibri" w:hAnsi="Calibri" w:eastAsia="Calibri" w:cs="Calibri"/>
          <w:color w:val="1A1A1A"/>
          <w:sz w:val="22"/>
          <w:szCs w:val="22"/>
        </w:rPr>
      </w:pPr>
    </w:p>
    <w:p w14:paraId="012476E4">
      <w:pPr>
        <w:spacing w:after="100"/>
      </w:pPr>
      <w:r>
        <w:rPr>
          <w:rFonts w:ascii="Calibri" w:hAnsi="Calibri" w:eastAsia="Calibri" w:cs="Calibri"/>
          <w:b/>
          <w:bCs/>
          <w:color w:val="071427"/>
          <w:sz w:val="22"/>
          <w:szCs w:val="22"/>
        </w:rPr>
        <w:t xml:space="preserve">Three key concepts learned: </w:t>
      </w:r>
    </w:p>
    <w:p w14:paraId="78F105B2">
      <w:pPr>
        <w:pStyle w:val="16"/>
        <w:numPr>
          <w:ilvl w:val="0"/>
          <w:numId w:val="1"/>
        </w:numPr>
        <w:spacing w:after="80"/>
      </w:pPr>
      <w:r>
        <w:rPr>
          <w:rFonts w:ascii="Calibri" w:hAnsi="Calibri" w:eastAsia="Calibri" w:cs="Calibri"/>
          <w:sz w:val="22"/>
          <w:szCs w:val="22"/>
        </w:rPr>
        <w:t>File System Hierarchy Standard (FHS): understanding the purpose of core directories (e.g., /etc for configurations, /var for variable data, /bin for binaries) is critical for locating sensitive information during enumeration.</w:t>
      </w:r>
    </w:p>
    <w:p w14:paraId="79E2B3C1">
      <w:pPr>
        <w:pStyle w:val="16"/>
        <w:numPr>
          <w:ilvl w:val="0"/>
          <w:numId w:val="1"/>
        </w:numPr>
        <w:spacing w:after="80"/>
      </w:pPr>
      <w:r>
        <w:rPr>
          <w:rFonts w:ascii="Calibri" w:hAnsi="Calibri" w:eastAsia="Calibri" w:cs="Calibri"/>
          <w:sz w:val="22"/>
          <w:szCs w:val="22"/>
        </w:rPr>
        <w:t>Package &amp; service management: utilizing apt for software management and systemctl for controlling background services (daemons) is essential for configuring servers or identifying vulnerable services.</w:t>
      </w:r>
    </w:p>
    <w:p w14:paraId="49F3C1A0">
      <w:pPr>
        <w:pStyle w:val="16"/>
        <w:numPr>
          <w:ilvl w:val="0"/>
          <w:numId w:val="1"/>
        </w:numPr>
        <w:spacing w:after="80"/>
      </w:pPr>
      <w:r>
        <w:rPr>
          <w:rFonts w:ascii="Calibri" w:hAnsi="Calibri" w:eastAsia="Calibri" w:cs="Calibri"/>
          <w:sz w:val="22"/>
          <w:szCs w:val="22"/>
        </w:rPr>
        <w:t>User &amp; group permissions: the Linux permission model (rwx) dictates access control. Mastering chown and chmod is necessary to understand how local privilege escalation paths (like misconfigured SUID binaries) are created.</w:t>
      </w:r>
    </w:p>
    <w:p w14:paraId="3E48A044">
      <w:pPr>
        <w:spacing w:after="100"/>
      </w:pPr>
      <w:r>
        <w:rPr>
          <w:rFonts w:ascii="Calibri" w:hAnsi="Calibri" w:eastAsia="Calibri" w:cs="Calibri"/>
          <w:b/>
          <w:bCs/>
          <w:color w:val="071427"/>
          <w:sz w:val="22"/>
          <w:szCs w:val="22"/>
        </w:rPr>
        <w:t xml:space="preserve">One tool/command learned: </w:t>
      </w:r>
      <w:r>
        <w:rPr>
          <w:rFonts w:ascii="Calibri" w:hAnsi="Calibri" w:eastAsia="Calibri" w:cs="Calibri"/>
          <w:color w:val="1A1A1A"/>
          <w:sz w:val="22"/>
          <w:szCs w:val="22"/>
        </w:rPr>
        <w:t>chmod and chown — used to modify file permissions and ownership, which is crucial for securing sensitive files or identifying misconfigured access controls.</w:t>
      </w:r>
    </w:p>
    <w:p w14:paraId="4307A491">
      <w:pPr>
        <w:spacing w:after="100"/>
      </w:pPr>
      <w:r>
        <w:rPr>
          <w:rFonts w:ascii="Calibri" w:hAnsi="Calibri" w:eastAsia="Calibri" w:cs="Calibri"/>
          <w:b/>
          <w:bCs/>
          <w:color w:val="071427"/>
          <w:sz w:val="22"/>
          <w:szCs w:val="22"/>
        </w:rPr>
        <w:t xml:space="preserve">One security issue/attack concept understood: </w:t>
      </w:r>
      <w:r>
        <w:rPr>
          <w:rFonts w:ascii="Calibri" w:hAnsi="Calibri" w:eastAsia="Calibri" w:cs="Calibri"/>
          <w:color w:val="1A1A1A"/>
          <w:sz w:val="22"/>
          <w:szCs w:val="22"/>
        </w:rPr>
        <w:t>Insecure file permissions. If sensitive configuration files (such as /etc/shadow or private SSH keys) are left world-readable or world-writable, unprivileged attackers can easily extract credentials or modify system configurations to escalate privileges.</w:t>
      </w:r>
    </w:p>
    <w:p w14:paraId="295C3544">
      <w:pPr>
        <w:spacing w:after="100"/>
      </w:pPr>
      <w:r>
        <w:rPr>
          <w:rFonts w:ascii="Calibri" w:hAnsi="Calibri" w:eastAsia="Calibri" w:cs="Calibri"/>
          <w:b/>
          <w:bCs/>
          <w:color w:val="071427"/>
          <w:sz w:val="22"/>
          <w:szCs w:val="22"/>
        </w:rPr>
        <w:t xml:space="preserve">What did you observe in the authorized lab?: </w:t>
      </w:r>
      <w:r>
        <w:rPr>
          <w:rFonts w:ascii="Calibri" w:hAnsi="Calibri" w:eastAsia="Calibri" w:cs="Calibri"/>
          <w:color w:val="1A1A1A"/>
          <w:sz w:val="22"/>
          <w:szCs w:val="22"/>
        </w:rPr>
        <w:t>The Linux file system was navigated to locate specific flags, package managers were used to install required utilities, and system services were interacted with. File permissions were also audited and modified to understand how Linux enforces access control mechanisms.</w:t>
      </w:r>
    </w:p>
    <w:p w14:paraId="20CDA129">
      <w:pPr>
        <w:spacing w:after="100"/>
      </w:pPr>
      <w:r>
        <w:rPr>
          <w:rFonts w:ascii="Calibri" w:hAnsi="Calibri" w:eastAsia="Calibri" w:cs="Calibri"/>
          <w:b/>
          <w:bCs/>
          <w:color w:val="071427"/>
          <w:sz w:val="22"/>
          <w:szCs w:val="22"/>
        </w:rPr>
        <w:t xml:space="preserve">What defensive lesson did you learn?: </w:t>
      </w:r>
      <w:r>
        <w:rPr>
          <w:rFonts w:ascii="Calibri" w:hAnsi="Calibri" w:eastAsia="Calibri" w:cs="Calibri"/>
          <w:color w:val="1A1A1A"/>
          <w:sz w:val="22"/>
          <w:szCs w:val="22"/>
        </w:rPr>
        <w:t>Strict adherence to the principle of least privilege is mandatory. Administrators must proactively audit file permissions to ensure that configuration files, backups, and user directories are tightly restricted and cannot be read or modified by unauthorized users.</w:t>
      </w:r>
    </w:p>
    <w:p w14:paraId="563BFF33">
      <w:pPr>
        <w:spacing w:after="100"/>
      </w:pPr>
      <w:r>
        <w:rPr>
          <w:rFonts w:ascii="Calibri" w:hAnsi="Calibri" w:eastAsia="Calibri" w:cs="Calibri"/>
          <w:b/>
          <w:bCs/>
          <w:color w:val="071427"/>
          <w:sz w:val="22"/>
          <w:szCs w:val="22"/>
        </w:rPr>
        <w:t xml:space="preserve">Screenshot numbers: </w:t>
      </w:r>
      <w:r>
        <w:rPr>
          <w:rFonts w:ascii="Calibri" w:hAnsi="Calibri" w:eastAsia="Calibri" w:cs="Calibri"/>
          <w:color w:val="1A1A1A"/>
          <w:sz w:val="22"/>
          <w:szCs w:val="22"/>
        </w:rPr>
        <w:t>Figure 5 (Linux Structure section), Figure 6 (Module completion)</w:t>
      </w:r>
    </w:p>
    <w:p w14:paraId="53D804F9">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2838450"/>
                    </a:xfrm>
                    <a:prstGeom prst="rect">
                      <a:avLst/>
                    </a:prstGeom>
                  </pic:spPr>
                </pic:pic>
              </a:graphicData>
            </a:graphic>
          </wp:inline>
        </w:drawing>
      </w:r>
    </w:p>
    <w:p w14:paraId="6ABE4C28">
      <w:pPr>
        <w:spacing w:after="200"/>
        <w:jc w:val="center"/>
      </w:pPr>
      <w:r>
        <w:rPr>
          <w:rFonts w:ascii="Calibri" w:hAnsi="Calibri" w:eastAsia="Calibri" w:cs="Calibri"/>
          <w:i/>
          <w:iCs/>
          <w:color w:val="5A5A5A"/>
          <w:sz w:val="19"/>
          <w:szCs w:val="19"/>
        </w:rPr>
        <w:t>Figure 5 — Linux Fundamentals: Linux Structure section (history, philosophy, file system hierarchy).</w:t>
      </w:r>
    </w:p>
    <w:p w14:paraId="18141A6C">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496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2496185"/>
                    </a:xfrm>
                    <a:prstGeom prst="rect">
                      <a:avLst/>
                    </a:prstGeom>
                  </pic:spPr>
                </pic:pic>
              </a:graphicData>
            </a:graphic>
          </wp:inline>
        </w:drawing>
      </w:r>
    </w:p>
    <w:p w14:paraId="3903CCEF">
      <w:pPr>
        <w:spacing w:after="200"/>
        <w:jc w:val="center"/>
      </w:pPr>
      <w:r>
        <w:rPr>
          <w:rFonts w:ascii="Calibri" w:hAnsi="Calibri" w:eastAsia="Calibri" w:cs="Calibri"/>
          <w:i/>
          <w:iCs/>
          <w:color w:val="5A5A5A"/>
          <w:sz w:val="19"/>
          <w:szCs w:val="19"/>
        </w:rPr>
        <w:t>Figure 6 — Evidence of the completed Linux Fundamentals module.</w:t>
      </w:r>
    </w:p>
    <w:p w14:paraId="6A013F4F">
      <w:pPr>
        <w:pStyle w:val="2"/>
        <w:spacing w:before="300" w:after="150"/>
      </w:pPr>
      <w:r>
        <w:rPr>
          <w:rFonts w:ascii="Calibri" w:hAnsi="Calibri" w:eastAsia="Calibri" w:cs="Calibri"/>
          <w:b/>
          <w:bCs/>
          <w:color w:val="071427"/>
        </w:rPr>
        <w:t>7. Findings</w:t>
      </w:r>
    </w:p>
    <w:p w14:paraId="356358B4">
      <w:pPr>
        <w:spacing w:before="200" w:after="100"/>
      </w:pPr>
      <w:r>
        <w:rPr>
          <w:rFonts w:ascii="Calibri" w:hAnsi="Calibri" w:eastAsia="Calibri" w:cs="Calibri"/>
          <w:b/>
          <w:bCs/>
          <w:color w:val="0987FF"/>
          <w:sz w:val="24"/>
          <w:szCs w:val="24"/>
        </w:rPr>
        <w:t>Finding PT-01: Information Disclosure via Anonymous FTP and Exposed SSH Keys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0307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EDC82E7">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51D15C2E">
            <w:pPr>
              <w:jc w:val="left"/>
            </w:pPr>
            <w:r>
              <w:rPr>
                <w:rFonts w:ascii="Calibri" w:hAnsi="Calibri" w:eastAsia="Calibri" w:cs="Calibri"/>
                <w:b w:val="0"/>
                <w:bCs w:val="0"/>
                <w:color w:val="1A1A1A"/>
                <w:sz w:val="21"/>
                <w:szCs w:val="21"/>
              </w:rPr>
              <w:t>PT-01</w:t>
            </w:r>
          </w:p>
        </w:tc>
      </w:tr>
      <w:tr w14:paraId="2B0C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6861CB8">
            <w:pPr>
              <w:jc w:val="left"/>
            </w:pPr>
            <w:r>
              <w:rPr>
                <w:rFonts w:ascii="Calibri" w:hAnsi="Calibri" w:eastAsia="Calibri" w:cs="Calibri"/>
                <w:b/>
                <w:bCs/>
                <w:color w:val="FFFFFF"/>
                <w:sz w:val="21"/>
                <w:szCs w:val="21"/>
              </w:rPr>
              <w:t>Vulnerability / Security Issue</w:t>
            </w:r>
          </w:p>
        </w:tc>
        <w:tc>
          <w:tcPr>
            <w:tcW w:w="6600" w:type="dxa"/>
            <w:shd w:val="clear" w:color="auto" w:fill="FFFFFF"/>
            <w:tcMar>
              <w:top w:w="80" w:type="dxa"/>
              <w:left w:w="120" w:type="dxa"/>
              <w:bottom w:w="80" w:type="dxa"/>
              <w:right w:w="120" w:type="dxa"/>
            </w:tcMar>
            <w:vAlign w:val="center"/>
          </w:tcPr>
          <w:p w14:paraId="6EFBE170">
            <w:pPr>
              <w:jc w:val="left"/>
            </w:pPr>
            <w:r>
              <w:rPr>
                <w:rFonts w:ascii="Calibri" w:hAnsi="Calibri" w:eastAsia="Calibri" w:cs="Calibri"/>
                <w:b w:val="0"/>
                <w:bCs w:val="0"/>
                <w:color w:val="1A1A1A"/>
                <w:sz w:val="21"/>
                <w:szCs w:val="21"/>
              </w:rPr>
              <w:t>Information Disclosure via Anonymous FTP and Exposed SSH Keys</w:t>
            </w:r>
          </w:p>
        </w:tc>
      </w:tr>
      <w:tr w14:paraId="6F29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C0392B"/>
            <w:tcMar>
              <w:top w:w="80" w:type="dxa"/>
              <w:left w:w="120" w:type="dxa"/>
              <w:bottom w:w="80" w:type="dxa"/>
              <w:right w:w="120" w:type="dxa"/>
            </w:tcMar>
            <w:vAlign w:val="center"/>
          </w:tcPr>
          <w:p w14:paraId="233D8735">
            <w:pPr>
              <w:jc w:val="left"/>
            </w:pPr>
            <w:r>
              <w:rPr>
                <w:rFonts w:ascii="Calibri" w:hAnsi="Calibri" w:eastAsia="Calibri" w:cs="Calibri"/>
                <w:b/>
                <w:bCs/>
                <w:color w:val="FFFFFF"/>
                <w:sz w:val="21"/>
                <w:szCs w:val="21"/>
              </w:rPr>
              <w:t>Severity</w:t>
            </w:r>
          </w:p>
        </w:tc>
        <w:tc>
          <w:tcPr>
            <w:tcW w:w="6600" w:type="dxa"/>
            <w:shd w:val="clear" w:color="auto" w:fill="F2F4F7"/>
            <w:tcMar>
              <w:top w:w="80" w:type="dxa"/>
              <w:left w:w="120" w:type="dxa"/>
              <w:bottom w:w="80" w:type="dxa"/>
              <w:right w:w="120" w:type="dxa"/>
            </w:tcMar>
            <w:vAlign w:val="center"/>
          </w:tcPr>
          <w:p w14:paraId="0360ED59">
            <w:pPr>
              <w:jc w:val="left"/>
            </w:pPr>
            <w:r>
              <w:rPr>
                <w:rFonts w:ascii="Calibri" w:hAnsi="Calibri" w:eastAsia="Calibri" w:cs="Calibri"/>
                <w:b w:val="0"/>
                <w:bCs w:val="0"/>
                <w:color w:val="1A1A1A"/>
                <w:sz w:val="21"/>
                <w:szCs w:val="21"/>
              </w:rPr>
              <w:t>High</w:t>
            </w:r>
          </w:p>
        </w:tc>
      </w:tr>
      <w:tr w14:paraId="3EE7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DE5E372">
            <w:pPr>
              <w:jc w:val="left"/>
            </w:pPr>
            <w:r>
              <w:rPr>
                <w:rFonts w:ascii="Calibri" w:hAnsi="Calibri" w:eastAsia="Calibri" w:cs="Calibri"/>
                <w:b/>
                <w:bCs/>
                <w:color w:val="FFFFFF"/>
                <w:sz w:val="21"/>
                <w:szCs w:val="21"/>
              </w:rPr>
              <w:t>Affected HTB Lab / Target</w:t>
            </w:r>
          </w:p>
        </w:tc>
        <w:tc>
          <w:tcPr>
            <w:tcW w:w="6600" w:type="dxa"/>
            <w:shd w:val="clear" w:color="auto" w:fill="FFFFFF"/>
            <w:tcMar>
              <w:top w:w="80" w:type="dxa"/>
              <w:left w:w="120" w:type="dxa"/>
              <w:bottom w:w="80" w:type="dxa"/>
              <w:right w:w="120" w:type="dxa"/>
            </w:tcMar>
            <w:vAlign w:val="center"/>
          </w:tcPr>
          <w:p w14:paraId="051BBE8C">
            <w:pPr>
              <w:jc w:val="left"/>
            </w:pPr>
            <w:r>
              <w:rPr>
                <w:rFonts w:ascii="Calibri" w:hAnsi="Calibri" w:eastAsia="Calibri" w:cs="Calibri"/>
                <w:b w:val="0"/>
                <w:bCs w:val="0"/>
                <w:color w:val="1A1A1A"/>
                <w:sz w:val="21"/>
                <w:szCs w:val="21"/>
              </w:rPr>
              <w:t>Cube-Case Linux Target (Port 21) — Pentest in a Nutshell module</w:t>
            </w:r>
          </w:p>
        </w:tc>
      </w:tr>
      <w:tr w14:paraId="5BCE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5482F98">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1312040C">
            <w:pPr>
              <w:jc w:val="left"/>
            </w:pPr>
            <w:r>
              <w:rPr>
                <w:rFonts w:ascii="Calibri" w:hAnsi="Calibri" w:eastAsia="Calibri" w:cs="Calibri"/>
                <w:b w:val="0"/>
                <w:bCs w:val="0"/>
                <w:color w:val="1A1A1A"/>
                <w:sz w:val="21"/>
                <w:szCs w:val="21"/>
              </w:rPr>
              <w:t>The target network hosted an FTP server with anonymous login enabled. Exploring this share revealed sensitive internal project notes and an exposed .ssh directory containing a private id_rsa key. A .bash_history file was also accessible, revealing cleartext passwords used by the development team.</w:t>
            </w:r>
          </w:p>
        </w:tc>
      </w:tr>
      <w:tr w14:paraId="22C5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21064ED9">
            <w:pPr>
              <w:jc w:val="left"/>
            </w:pPr>
            <w:r>
              <w:rPr>
                <w:rFonts w:ascii="Calibri" w:hAnsi="Calibri" w:eastAsia="Calibri" w:cs="Calibri"/>
                <w:b/>
                <w:bCs/>
                <w:color w:val="FFFFFF"/>
                <w:sz w:val="21"/>
                <w:szCs w:val="21"/>
              </w:rPr>
              <w:t>Steps Performed</w:t>
            </w:r>
          </w:p>
        </w:tc>
        <w:tc>
          <w:tcPr>
            <w:tcW w:w="6600" w:type="dxa"/>
            <w:shd w:val="clear" w:color="auto" w:fill="FFFFFF"/>
            <w:tcMar>
              <w:top w:w="80" w:type="dxa"/>
              <w:left w:w="120" w:type="dxa"/>
              <w:bottom w:w="80" w:type="dxa"/>
              <w:right w:w="120" w:type="dxa"/>
            </w:tcMar>
            <w:vAlign w:val="center"/>
          </w:tcPr>
          <w:p w14:paraId="02B9A5FD">
            <w:pPr>
              <w:jc w:val="left"/>
            </w:pPr>
            <w:r>
              <w:rPr>
                <w:rFonts w:ascii="Calibri" w:hAnsi="Calibri" w:eastAsia="Calibri" w:cs="Calibri"/>
                <w:b w:val="0"/>
                <w:bCs w:val="0"/>
                <w:color w:val="1A1A1A"/>
                <w:sz w:val="21"/>
                <w:szCs w:val="21"/>
              </w:rPr>
              <w:t>Connected to the FTP server on port 21 using the anonymous user. Used standard ls and get commands to download .bash_history and id_rsa to the local attacking machine for inspection.</w:t>
            </w:r>
          </w:p>
        </w:tc>
      </w:tr>
      <w:tr w14:paraId="4972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79302A6A">
            <w:pPr>
              <w:jc w:val="left"/>
            </w:pPr>
            <w:r>
              <w:rPr>
                <w:rFonts w:ascii="Calibri" w:hAnsi="Calibri" w:eastAsia="Calibri" w:cs="Calibri"/>
                <w:b/>
                <w:bCs/>
                <w:color w:val="FFFFFF"/>
                <w:sz w:val="21"/>
                <w:szCs w:val="21"/>
              </w:rPr>
              <w:t>Impact</w:t>
            </w:r>
          </w:p>
        </w:tc>
        <w:tc>
          <w:tcPr>
            <w:tcW w:w="6600" w:type="dxa"/>
            <w:shd w:val="clear" w:color="auto" w:fill="F2F4F7"/>
            <w:tcMar>
              <w:top w:w="80" w:type="dxa"/>
              <w:left w:w="120" w:type="dxa"/>
              <w:bottom w:w="80" w:type="dxa"/>
              <w:right w:w="120" w:type="dxa"/>
            </w:tcMar>
            <w:vAlign w:val="center"/>
          </w:tcPr>
          <w:p w14:paraId="4F1D1724">
            <w:pPr>
              <w:jc w:val="left"/>
            </w:pPr>
            <w:r>
              <w:rPr>
                <w:rFonts w:ascii="Calibri" w:hAnsi="Calibri" w:eastAsia="Calibri" w:cs="Calibri"/>
                <w:b w:val="0"/>
                <w:bCs w:val="0"/>
                <w:color w:val="1A1A1A"/>
                <w:sz w:val="21"/>
                <w:szCs w:val="21"/>
              </w:rPr>
              <w:t>An attacker can use the exposed private SSH key and cleartext credentials to bypass authentication entirely, gaining direct remote shell access to the host.</w:t>
            </w:r>
          </w:p>
        </w:tc>
      </w:tr>
      <w:tr w14:paraId="47AE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C882EB7">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4063AA3C">
            <w:pPr>
              <w:jc w:val="left"/>
            </w:pPr>
            <w:r>
              <w:rPr>
                <w:rFonts w:ascii="Calibri" w:hAnsi="Calibri" w:eastAsia="Calibri" w:cs="Calibri"/>
                <w:b w:val="0"/>
                <w:bCs w:val="0"/>
                <w:color w:val="1A1A1A"/>
                <w:sz w:val="21"/>
                <w:szCs w:val="21"/>
              </w:rPr>
              <w:t>Disable anonymous access on the FTP server. Audit the file system to remove sensitive files (SSH keys, command history, backups) from publicly accessible directories.</w:t>
            </w:r>
          </w:p>
        </w:tc>
      </w:tr>
      <w:tr w14:paraId="1EC3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B52BD39">
            <w:pPr>
              <w:jc w:val="left"/>
            </w:pPr>
            <w:r>
              <w:rPr>
                <w:rFonts w:ascii="Calibri" w:hAnsi="Calibri" w:eastAsia="Calibri" w:cs="Calibri"/>
                <w:b/>
                <w:bCs/>
                <w:color w:val="FFFFFF"/>
                <w:sz w:val="21"/>
                <w:szCs w:val="21"/>
              </w:rPr>
              <w:t>Reference</w:t>
            </w:r>
          </w:p>
        </w:tc>
        <w:tc>
          <w:tcPr>
            <w:tcW w:w="6600" w:type="dxa"/>
            <w:shd w:val="clear" w:color="auto" w:fill="F2F4F7"/>
            <w:tcMar>
              <w:top w:w="80" w:type="dxa"/>
              <w:left w:w="120" w:type="dxa"/>
              <w:bottom w:w="80" w:type="dxa"/>
              <w:right w:w="120" w:type="dxa"/>
            </w:tcMar>
            <w:vAlign w:val="center"/>
          </w:tcPr>
          <w:p w14:paraId="679810DD">
            <w:pPr>
              <w:jc w:val="left"/>
            </w:pPr>
            <w:r>
              <w:rPr>
                <w:rFonts w:ascii="Calibri" w:hAnsi="Calibri" w:eastAsia="Calibri" w:cs="Calibri"/>
                <w:b w:val="0"/>
                <w:bCs w:val="0"/>
                <w:color w:val="1A1A1A"/>
                <w:sz w:val="21"/>
                <w:szCs w:val="21"/>
              </w:rPr>
              <w:t>HTB Academy “Pentest in a Nutshell”; OWASP A01:2021 – Broken Access Control.</w:t>
            </w:r>
          </w:p>
        </w:tc>
      </w:tr>
    </w:tbl>
    <w:p w14:paraId="2AECBF6D">
      <w:pPr>
        <w:spacing w:before="200" w:after="100"/>
      </w:pPr>
      <w:r>
        <w:rPr>
          <w:rFonts w:ascii="Calibri" w:hAnsi="Calibri" w:eastAsia="Calibri" w:cs="Calibri"/>
          <w:b/>
          <w:bCs/>
          <w:color w:val="0987FF"/>
          <w:sz w:val="24"/>
          <w:szCs w:val="24"/>
        </w:rPr>
        <w:t>Finding PT-02: Local Privilege Escalation via Insecure Sudo Configuration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412B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720ECCE2">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54A7F731">
            <w:pPr>
              <w:jc w:val="left"/>
            </w:pPr>
            <w:r>
              <w:rPr>
                <w:rFonts w:ascii="Calibri" w:hAnsi="Calibri" w:eastAsia="Calibri" w:cs="Calibri"/>
                <w:b w:val="0"/>
                <w:bCs w:val="0"/>
                <w:color w:val="1A1A1A"/>
                <w:sz w:val="21"/>
                <w:szCs w:val="21"/>
              </w:rPr>
              <w:t>PT-02</w:t>
            </w:r>
          </w:p>
        </w:tc>
      </w:tr>
      <w:tr w14:paraId="24A2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3D3DCAE">
            <w:pPr>
              <w:jc w:val="left"/>
            </w:pPr>
            <w:r>
              <w:rPr>
                <w:rFonts w:ascii="Calibri" w:hAnsi="Calibri" w:eastAsia="Calibri" w:cs="Calibri"/>
                <w:b/>
                <w:bCs/>
                <w:color w:val="FFFFFF"/>
                <w:sz w:val="21"/>
                <w:szCs w:val="21"/>
              </w:rPr>
              <w:t>Vulnerability / Security Issue</w:t>
            </w:r>
          </w:p>
        </w:tc>
        <w:tc>
          <w:tcPr>
            <w:tcW w:w="6600" w:type="dxa"/>
            <w:shd w:val="clear" w:color="auto" w:fill="FFFFFF"/>
            <w:tcMar>
              <w:top w:w="80" w:type="dxa"/>
              <w:left w:w="120" w:type="dxa"/>
              <w:bottom w:w="80" w:type="dxa"/>
              <w:right w:w="120" w:type="dxa"/>
            </w:tcMar>
            <w:vAlign w:val="center"/>
          </w:tcPr>
          <w:p w14:paraId="2461DB21">
            <w:pPr>
              <w:jc w:val="left"/>
            </w:pPr>
            <w:r>
              <w:rPr>
                <w:rFonts w:ascii="Calibri" w:hAnsi="Calibri" w:eastAsia="Calibri" w:cs="Calibri"/>
                <w:b w:val="0"/>
                <w:bCs w:val="0"/>
                <w:color w:val="1A1A1A"/>
                <w:sz w:val="21"/>
                <w:szCs w:val="21"/>
              </w:rPr>
              <w:t>Local Privilege Escalation via Insecure Sudo Configuration</w:t>
            </w:r>
          </w:p>
        </w:tc>
      </w:tr>
      <w:tr w14:paraId="042E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C0392B"/>
            <w:tcMar>
              <w:top w:w="80" w:type="dxa"/>
              <w:left w:w="120" w:type="dxa"/>
              <w:bottom w:w="80" w:type="dxa"/>
              <w:right w:w="120" w:type="dxa"/>
            </w:tcMar>
            <w:vAlign w:val="center"/>
          </w:tcPr>
          <w:p w14:paraId="50C0E1BE">
            <w:pPr>
              <w:jc w:val="left"/>
            </w:pPr>
            <w:r>
              <w:rPr>
                <w:rFonts w:ascii="Calibri" w:hAnsi="Calibri" w:eastAsia="Calibri" w:cs="Calibri"/>
                <w:b/>
                <w:bCs/>
                <w:color w:val="FFFFFF"/>
                <w:sz w:val="21"/>
                <w:szCs w:val="21"/>
              </w:rPr>
              <w:t>Severity</w:t>
            </w:r>
          </w:p>
        </w:tc>
        <w:tc>
          <w:tcPr>
            <w:tcW w:w="6600" w:type="dxa"/>
            <w:shd w:val="clear" w:color="auto" w:fill="F2F4F7"/>
            <w:tcMar>
              <w:top w:w="80" w:type="dxa"/>
              <w:left w:w="120" w:type="dxa"/>
              <w:bottom w:w="80" w:type="dxa"/>
              <w:right w:w="120" w:type="dxa"/>
            </w:tcMar>
            <w:vAlign w:val="center"/>
          </w:tcPr>
          <w:p w14:paraId="636EA992">
            <w:pPr>
              <w:jc w:val="left"/>
            </w:pPr>
            <w:r>
              <w:rPr>
                <w:rFonts w:ascii="Calibri" w:hAnsi="Calibri" w:eastAsia="Calibri" w:cs="Calibri"/>
                <w:b w:val="0"/>
                <w:bCs w:val="0"/>
                <w:color w:val="1A1A1A"/>
                <w:sz w:val="21"/>
                <w:szCs w:val="21"/>
              </w:rPr>
              <w:t>High</w:t>
            </w:r>
          </w:p>
        </w:tc>
      </w:tr>
      <w:tr w14:paraId="6BE2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AC17A07">
            <w:pPr>
              <w:jc w:val="left"/>
            </w:pPr>
            <w:r>
              <w:rPr>
                <w:rFonts w:ascii="Calibri" w:hAnsi="Calibri" w:eastAsia="Calibri" w:cs="Calibri"/>
                <w:b/>
                <w:bCs/>
                <w:color w:val="FFFFFF"/>
                <w:sz w:val="21"/>
                <w:szCs w:val="21"/>
              </w:rPr>
              <w:t>Affected HTB Lab / Target</w:t>
            </w:r>
          </w:p>
        </w:tc>
        <w:tc>
          <w:tcPr>
            <w:tcW w:w="6600" w:type="dxa"/>
            <w:shd w:val="clear" w:color="auto" w:fill="FFFFFF"/>
            <w:tcMar>
              <w:top w:w="80" w:type="dxa"/>
              <w:left w:w="120" w:type="dxa"/>
              <w:bottom w:w="80" w:type="dxa"/>
              <w:right w:w="120" w:type="dxa"/>
            </w:tcMar>
            <w:vAlign w:val="center"/>
          </w:tcPr>
          <w:p w14:paraId="3F268340">
            <w:pPr>
              <w:jc w:val="left"/>
            </w:pPr>
            <w:r>
              <w:rPr>
                <w:rFonts w:ascii="Calibri" w:hAnsi="Calibri" w:eastAsia="Calibri" w:cs="Calibri"/>
                <w:b w:val="0"/>
                <w:bCs w:val="0"/>
                <w:color w:val="1A1A1A"/>
                <w:sz w:val="21"/>
                <w:szCs w:val="21"/>
              </w:rPr>
              <w:t>Getting Started Lab (Nibbles Target)</w:t>
            </w:r>
          </w:p>
        </w:tc>
      </w:tr>
      <w:tr w14:paraId="74F7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299B5941">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24A749E4">
            <w:pPr>
              <w:jc w:val="left"/>
            </w:pPr>
            <w:r>
              <w:rPr>
                <w:rFonts w:ascii="Calibri" w:hAnsi="Calibri" w:eastAsia="Calibri" w:cs="Calibri"/>
                <w:b w:val="0"/>
                <w:bCs w:val="0"/>
                <w:color w:val="1A1A1A"/>
                <w:sz w:val="21"/>
                <w:szCs w:val="21"/>
              </w:rPr>
              <w:t>Following initial access as an unprivileged service account, local enumeration revealed a severe authorization misconfiguration. The /etc/sudoers file permitted the current user to execute a specific bash script (monitor.sh) with root privileges without requiring a password. The file permissions on this script were also overly permissive, allowing the unprivileged user to modify its contents.</w:t>
            </w:r>
          </w:p>
        </w:tc>
      </w:tr>
      <w:tr w14:paraId="41B6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C5A25ED">
            <w:pPr>
              <w:jc w:val="left"/>
            </w:pPr>
            <w:r>
              <w:rPr>
                <w:rFonts w:ascii="Calibri" w:hAnsi="Calibri" w:eastAsia="Calibri" w:cs="Calibri"/>
                <w:b/>
                <w:bCs/>
                <w:color w:val="FFFFFF"/>
                <w:sz w:val="21"/>
                <w:szCs w:val="21"/>
              </w:rPr>
              <w:t>Steps Performed</w:t>
            </w:r>
          </w:p>
        </w:tc>
        <w:tc>
          <w:tcPr>
            <w:tcW w:w="6600" w:type="dxa"/>
            <w:shd w:val="clear" w:color="auto" w:fill="FFFFFF"/>
            <w:tcMar>
              <w:top w:w="80" w:type="dxa"/>
              <w:left w:w="120" w:type="dxa"/>
              <w:bottom w:w="80" w:type="dxa"/>
              <w:right w:w="120" w:type="dxa"/>
            </w:tcMar>
            <w:vAlign w:val="center"/>
          </w:tcPr>
          <w:p w14:paraId="67C6E0CD">
            <w:pPr>
              <w:jc w:val="left"/>
            </w:pPr>
            <w:r>
              <w:rPr>
                <w:rFonts w:ascii="Calibri" w:hAnsi="Calibri" w:eastAsia="Calibri" w:cs="Calibri"/>
                <w:b w:val="0"/>
                <w:bCs w:val="0"/>
                <w:color w:val="1A1A1A"/>
                <w:sz w:val="21"/>
                <w:szCs w:val="21"/>
              </w:rPr>
              <w:t>Executed sudo -l to identify commands the current user could run as root. Identified write access to monitor.sh. Appended a reverse shell payload to the end of the script using echo and executed it via sudo.</w:t>
            </w:r>
          </w:p>
        </w:tc>
      </w:tr>
      <w:tr w14:paraId="162A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6B56F16">
            <w:pPr>
              <w:jc w:val="left"/>
            </w:pPr>
            <w:r>
              <w:rPr>
                <w:rFonts w:ascii="Calibri" w:hAnsi="Calibri" w:eastAsia="Calibri" w:cs="Calibri"/>
                <w:b/>
                <w:bCs/>
                <w:color w:val="FFFFFF"/>
                <w:sz w:val="21"/>
                <w:szCs w:val="21"/>
              </w:rPr>
              <w:t>Impact</w:t>
            </w:r>
          </w:p>
        </w:tc>
        <w:tc>
          <w:tcPr>
            <w:tcW w:w="6600" w:type="dxa"/>
            <w:shd w:val="clear" w:color="auto" w:fill="F2F4F7"/>
            <w:tcMar>
              <w:top w:w="80" w:type="dxa"/>
              <w:left w:w="120" w:type="dxa"/>
              <w:bottom w:w="80" w:type="dxa"/>
              <w:right w:w="120" w:type="dxa"/>
            </w:tcMar>
            <w:vAlign w:val="center"/>
          </w:tcPr>
          <w:p w14:paraId="187F4BB8">
            <w:pPr>
              <w:jc w:val="left"/>
            </w:pPr>
            <w:r>
              <w:rPr>
                <w:rFonts w:ascii="Calibri" w:hAnsi="Calibri" w:eastAsia="Calibri" w:cs="Calibri"/>
                <w:b w:val="0"/>
                <w:bCs w:val="0"/>
                <w:color w:val="1A1A1A"/>
                <w:sz w:val="21"/>
                <w:szCs w:val="21"/>
              </w:rPr>
              <w:t>Any attacker who breaches the web application and gains access to the low-privileged service account can trivially modify the script to execute arbitrary commands as root, resulting in a complete system takeover.</w:t>
            </w:r>
          </w:p>
        </w:tc>
      </w:tr>
      <w:tr w14:paraId="3835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CD1A580">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2A2A3931">
            <w:pPr>
              <w:jc w:val="left"/>
            </w:pPr>
            <w:r>
              <w:rPr>
                <w:rFonts w:ascii="Calibri" w:hAnsi="Calibri" w:eastAsia="Calibri" w:cs="Calibri"/>
                <w:b w:val="0"/>
                <w:bCs w:val="0"/>
                <w:color w:val="1A1A1A"/>
                <w:sz w:val="21"/>
                <w:szCs w:val="21"/>
              </w:rPr>
              <w:t>Remove the NOPASSWD directive for this script in the /etc/sudoers configuration. Ensure that any script executed with elevated privileges is strictly owned by root and is not writeable by unprivileged users or groups.</w:t>
            </w:r>
          </w:p>
        </w:tc>
      </w:tr>
      <w:tr w14:paraId="25F1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9F441B7">
            <w:pPr>
              <w:jc w:val="left"/>
            </w:pPr>
            <w:r>
              <w:rPr>
                <w:rFonts w:ascii="Calibri" w:hAnsi="Calibri" w:eastAsia="Calibri" w:cs="Calibri"/>
                <w:b/>
                <w:bCs/>
                <w:color w:val="FFFFFF"/>
                <w:sz w:val="21"/>
                <w:szCs w:val="21"/>
              </w:rPr>
              <w:t>Reference</w:t>
            </w:r>
          </w:p>
        </w:tc>
        <w:tc>
          <w:tcPr>
            <w:tcW w:w="6600" w:type="dxa"/>
            <w:shd w:val="clear" w:color="auto" w:fill="F2F4F7"/>
            <w:tcMar>
              <w:top w:w="80" w:type="dxa"/>
              <w:left w:w="120" w:type="dxa"/>
              <w:bottom w:w="80" w:type="dxa"/>
              <w:right w:w="120" w:type="dxa"/>
            </w:tcMar>
            <w:vAlign w:val="center"/>
          </w:tcPr>
          <w:p w14:paraId="12C3A2E0">
            <w:pPr>
              <w:jc w:val="left"/>
            </w:pPr>
            <w:r>
              <w:rPr>
                <w:rFonts w:ascii="Calibri" w:hAnsi="Calibri" w:eastAsia="Calibri" w:cs="Calibri"/>
                <w:b w:val="0"/>
                <w:bCs w:val="0"/>
                <w:color w:val="1A1A1A"/>
                <w:sz w:val="21"/>
                <w:szCs w:val="21"/>
              </w:rPr>
              <w:t>HTB Academy “Getting Started”; MITRE ATT&amp;CK T1548.003 (Abuse Elevation Control Mechanism: Sudo and Sudo Caching).</w:t>
            </w:r>
          </w:p>
        </w:tc>
      </w:tr>
    </w:tbl>
    <w:p w14:paraId="5BC41CCA">
      <w:pPr>
        <w:spacing w:after="200"/>
      </w:pPr>
    </w:p>
    <w:p w14:paraId="45F6F120">
      <w:pPr>
        <w:spacing w:after="200"/>
      </w:pPr>
    </w:p>
    <w:p w14:paraId="430FFB6B">
      <w:pPr>
        <w:spacing w:after="200"/>
      </w:pPr>
    </w:p>
    <w:p w14:paraId="6375A01D">
      <w:pPr>
        <w:spacing w:after="200"/>
      </w:pPr>
    </w:p>
    <w:p w14:paraId="7AFCC142">
      <w:pPr>
        <w:spacing w:after="200"/>
      </w:pPr>
    </w:p>
    <w:p w14:paraId="6335C041">
      <w:pPr>
        <w:spacing w:after="200"/>
      </w:pPr>
    </w:p>
    <w:p w14:paraId="5547EE99">
      <w:pPr>
        <w:spacing w:after="200"/>
      </w:pPr>
    </w:p>
    <w:p w14:paraId="532CE5A3">
      <w:pPr>
        <w:spacing w:after="200"/>
      </w:pPr>
    </w:p>
    <w:p w14:paraId="3E523164">
      <w:pPr>
        <w:spacing w:after="200"/>
      </w:pPr>
    </w:p>
    <w:p w14:paraId="5B077D8F">
      <w:pPr>
        <w:spacing w:after="200"/>
      </w:pPr>
    </w:p>
    <w:p w14:paraId="6CFDA726">
      <w:pPr>
        <w:spacing w:before="200" w:after="100"/>
      </w:pPr>
      <w:r>
        <w:rPr>
          <w:rFonts w:ascii="Calibri" w:hAnsi="Calibri" w:eastAsia="Calibri" w:cs="Calibri"/>
          <w:b/>
          <w:bCs/>
          <w:color w:val="0987FF"/>
          <w:sz w:val="24"/>
          <w:szCs w:val="24"/>
        </w:rPr>
        <w:t>Finding PT-03: Insecure File Permissions (World-Readable Sensitive Files)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0A69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7E12C8D">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01A90344">
            <w:pPr>
              <w:jc w:val="left"/>
            </w:pPr>
            <w:r>
              <w:rPr>
                <w:rFonts w:ascii="Calibri" w:hAnsi="Calibri" w:eastAsia="Calibri" w:cs="Calibri"/>
                <w:b w:val="0"/>
                <w:bCs w:val="0"/>
                <w:color w:val="1A1A1A"/>
                <w:sz w:val="21"/>
                <w:szCs w:val="21"/>
              </w:rPr>
              <w:t>PT-03</w:t>
            </w:r>
          </w:p>
        </w:tc>
      </w:tr>
      <w:tr w14:paraId="54ED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767E275">
            <w:pPr>
              <w:jc w:val="left"/>
            </w:pPr>
            <w:r>
              <w:rPr>
                <w:rFonts w:ascii="Calibri" w:hAnsi="Calibri" w:eastAsia="Calibri" w:cs="Calibri"/>
                <w:b/>
                <w:bCs/>
                <w:color w:val="FFFFFF"/>
                <w:sz w:val="21"/>
                <w:szCs w:val="21"/>
              </w:rPr>
              <w:t>Vulnerability / Security Issue</w:t>
            </w:r>
          </w:p>
        </w:tc>
        <w:tc>
          <w:tcPr>
            <w:tcW w:w="6600" w:type="dxa"/>
            <w:shd w:val="clear" w:color="auto" w:fill="FFFFFF"/>
            <w:tcMar>
              <w:top w:w="80" w:type="dxa"/>
              <w:left w:w="120" w:type="dxa"/>
              <w:bottom w:w="80" w:type="dxa"/>
              <w:right w:w="120" w:type="dxa"/>
            </w:tcMar>
            <w:vAlign w:val="center"/>
          </w:tcPr>
          <w:p w14:paraId="4482FEA3">
            <w:pPr>
              <w:jc w:val="left"/>
            </w:pPr>
            <w:r>
              <w:rPr>
                <w:rFonts w:ascii="Calibri" w:hAnsi="Calibri" w:eastAsia="Calibri" w:cs="Calibri"/>
                <w:b w:val="0"/>
                <w:bCs w:val="0"/>
                <w:color w:val="1A1A1A"/>
                <w:sz w:val="21"/>
                <w:szCs w:val="21"/>
              </w:rPr>
              <w:t>Insecure File Permissions (World-Readable Sensitive Files)</w:t>
            </w:r>
          </w:p>
        </w:tc>
      </w:tr>
      <w:tr w14:paraId="0840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B9770E"/>
            <w:tcMar>
              <w:top w:w="80" w:type="dxa"/>
              <w:left w:w="120" w:type="dxa"/>
              <w:bottom w:w="80" w:type="dxa"/>
              <w:right w:w="120" w:type="dxa"/>
            </w:tcMar>
            <w:vAlign w:val="center"/>
          </w:tcPr>
          <w:p w14:paraId="689EE662">
            <w:pPr>
              <w:jc w:val="left"/>
            </w:pPr>
            <w:r>
              <w:rPr>
                <w:rFonts w:ascii="Calibri" w:hAnsi="Calibri" w:eastAsia="Calibri" w:cs="Calibri"/>
                <w:b/>
                <w:bCs/>
                <w:color w:val="FFFFFF"/>
                <w:sz w:val="21"/>
                <w:szCs w:val="21"/>
              </w:rPr>
              <w:t>Severity</w:t>
            </w:r>
          </w:p>
        </w:tc>
        <w:tc>
          <w:tcPr>
            <w:tcW w:w="6600" w:type="dxa"/>
            <w:shd w:val="clear" w:color="auto" w:fill="F2F4F7"/>
            <w:tcMar>
              <w:top w:w="80" w:type="dxa"/>
              <w:left w:w="120" w:type="dxa"/>
              <w:bottom w:w="80" w:type="dxa"/>
              <w:right w:w="120" w:type="dxa"/>
            </w:tcMar>
            <w:vAlign w:val="center"/>
          </w:tcPr>
          <w:p w14:paraId="183E8D4D">
            <w:pPr>
              <w:jc w:val="left"/>
            </w:pPr>
            <w:r>
              <w:rPr>
                <w:rFonts w:ascii="Calibri" w:hAnsi="Calibri" w:eastAsia="Calibri" w:cs="Calibri"/>
                <w:b w:val="0"/>
                <w:bCs w:val="0"/>
                <w:color w:val="1A1A1A"/>
                <w:sz w:val="21"/>
                <w:szCs w:val="21"/>
              </w:rPr>
              <w:t>Medium</w:t>
            </w:r>
          </w:p>
        </w:tc>
      </w:tr>
      <w:tr w14:paraId="4B71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02C78E0">
            <w:pPr>
              <w:jc w:val="left"/>
            </w:pPr>
            <w:r>
              <w:rPr>
                <w:rFonts w:ascii="Calibri" w:hAnsi="Calibri" w:eastAsia="Calibri" w:cs="Calibri"/>
                <w:b/>
                <w:bCs/>
                <w:color w:val="FFFFFF"/>
                <w:sz w:val="21"/>
                <w:szCs w:val="21"/>
              </w:rPr>
              <w:t>Affected HTB Lab / Target</w:t>
            </w:r>
          </w:p>
        </w:tc>
        <w:tc>
          <w:tcPr>
            <w:tcW w:w="6600" w:type="dxa"/>
            <w:shd w:val="clear" w:color="auto" w:fill="FFFFFF"/>
            <w:tcMar>
              <w:top w:w="80" w:type="dxa"/>
              <w:left w:w="120" w:type="dxa"/>
              <w:bottom w:w="80" w:type="dxa"/>
              <w:right w:w="120" w:type="dxa"/>
            </w:tcMar>
            <w:vAlign w:val="center"/>
          </w:tcPr>
          <w:p w14:paraId="1EE9AAD1">
            <w:pPr>
              <w:jc w:val="left"/>
            </w:pPr>
            <w:r>
              <w:rPr>
                <w:rFonts w:ascii="Calibri" w:hAnsi="Calibri" w:eastAsia="Calibri" w:cs="Calibri"/>
                <w:b w:val="0"/>
                <w:bCs w:val="0"/>
                <w:color w:val="1A1A1A"/>
                <w:sz w:val="21"/>
                <w:szCs w:val="21"/>
              </w:rPr>
              <w:t>Linux Fundamentals Lab Target (substitute for Module 90)</w:t>
            </w:r>
          </w:p>
        </w:tc>
      </w:tr>
      <w:tr w14:paraId="7315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3DD3E0F">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42CAF858">
            <w:pPr>
              <w:jc w:val="left"/>
            </w:pPr>
            <w:r>
              <w:rPr>
                <w:rFonts w:ascii="Calibri" w:hAnsi="Calibri" w:eastAsia="Calibri" w:cs="Calibri"/>
                <w:b w:val="0"/>
                <w:bCs w:val="0"/>
                <w:color w:val="1A1A1A"/>
                <w:sz w:val="21"/>
                <w:szCs w:val="21"/>
              </w:rPr>
              <w:t>During the foundational review of the Linux file system hierarchy and permission structures, it was observed that the operating system relies entirely on strict rwx permissions to secure sensitive data. If administrative or configuration files are inadvertently set to world-readable (e.g., chmod 777 or 644 on restricted files), any unprivileged user on the system can view them.</w:t>
            </w:r>
          </w:p>
        </w:tc>
      </w:tr>
      <w:tr w14:paraId="0D49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F42722C">
            <w:pPr>
              <w:jc w:val="left"/>
            </w:pPr>
            <w:r>
              <w:rPr>
                <w:rFonts w:ascii="Calibri" w:hAnsi="Calibri" w:eastAsia="Calibri" w:cs="Calibri"/>
                <w:b/>
                <w:bCs/>
                <w:color w:val="FFFFFF"/>
                <w:sz w:val="21"/>
                <w:szCs w:val="21"/>
              </w:rPr>
              <w:t>Steps Performed</w:t>
            </w:r>
          </w:p>
        </w:tc>
        <w:tc>
          <w:tcPr>
            <w:tcW w:w="6600" w:type="dxa"/>
            <w:shd w:val="clear" w:color="auto" w:fill="FFFFFF"/>
            <w:tcMar>
              <w:top w:w="80" w:type="dxa"/>
              <w:left w:w="120" w:type="dxa"/>
              <w:bottom w:w="80" w:type="dxa"/>
              <w:right w:w="120" w:type="dxa"/>
            </w:tcMar>
            <w:vAlign w:val="center"/>
          </w:tcPr>
          <w:p w14:paraId="6C6C4965">
            <w:pPr>
              <w:jc w:val="left"/>
            </w:pPr>
            <w:r>
              <w:rPr>
                <w:rFonts w:ascii="Calibri" w:hAnsi="Calibri" w:eastAsia="Calibri" w:cs="Calibri"/>
                <w:b w:val="0"/>
                <w:bCs w:val="0"/>
                <w:color w:val="1A1A1A"/>
                <w:sz w:val="21"/>
                <w:szCs w:val="21"/>
              </w:rPr>
              <w:t>Navigated the file system using basic shell commands (cd, ls -la) to audit the ownership and permission sets of various directories and files.</w:t>
            </w:r>
          </w:p>
        </w:tc>
      </w:tr>
      <w:tr w14:paraId="69E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58CFE06">
            <w:pPr>
              <w:jc w:val="left"/>
            </w:pPr>
            <w:r>
              <w:rPr>
                <w:rFonts w:ascii="Calibri" w:hAnsi="Calibri" w:eastAsia="Calibri" w:cs="Calibri"/>
                <w:b/>
                <w:bCs/>
                <w:color w:val="FFFFFF"/>
                <w:sz w:val="21"/>
                <w:szCs w:val="21"/>
              </w:rPr>
              <w:t>Impact</w:t>
            </w:r>
          </w:p>
        </w:tc>
        <w:tc>
          <w:tcPr>
            <w:tcW w:w="6600" w:type="dxa"/>
            <w:shd w:val="clear" w:color="auto" w:fill="F2F4F7"/>
            <w:tcMar>
              <w:top w:w="80" w:type="dxa"/>
              <w:left w:w="120" w:type="dxa"/>
              <w:bottom w:w="80" w:type="dxa"/>
              <w:right w:w="120" w:type="dxa"/>
            </w:tcMar>
            <w:vAlign w:val="center"/>
          </w:tcPr>
          <w:p w14:paraId="16252EF6">
            <w:pPr>
              <w:jc w:val="left"/>
            </w:pPr>
            <w:r>
              <w:rPr>
                <w:rFonts w:ascii="Calibri" w:hAnsi="Calibri" w:eastAsia="Calibri" w:cs="Calibri"/>
                <w:b w:val="0"/>
                <w:bCs w:val="0"/>
                <w:color w:val="1A1A1A"/>
                <w:sz w:val="21"/>
                <w:szCs w:val="21"/>
              </w:rPr>
              <w:t>Weak file permissions can lead to severe information disclosure. An attacker with a low-privileged foothold could read database passwords, API keys, or user hashes, facilitating further lateral movement or privilege escalation.</w:t>
            </w:r>
          </w:p>
        </w:tc>
      </w:tr>
      <w:tr w14:paraId="1D41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13A92EC">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716F3FB3">
            <w:pPr>
              <w:jc w:val="left"/>
            </w:pPr>
            <w:r>
              <w:rPr>
                <w:rFonts w:ascii="Calibri" w:hAnsi="Calibri" w:eastAsia="Calibri" w:cs="Calibri"/>
                <w:b w:val="0"/>
                <w:bCs w:val="0"/>
                <w:color w:val="1A1A1A"/>
                <w:sz w:val="21"/>
                <w:szCs w:val="21"/>
              </w:rPr>
              <w:t>Implement strict permission policies using chmod and chown. Ensure that sensitive files (like /etc/shadow or .ssh directories) are heavily restricted, typically allowing read/write access strictly to the file owner or the root user.</w:t>
            </w:r>
          </w:p>
        </w:tc>
      </w:tr>
      <w:tr w14:paraId="455B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E8CB6D5">
            <w:pPr>
              <w:jc w:val="left"/>
            </w:pPr>
            <w:r>
              <w:rPr>
                <w:rFonts w:ascii="Calibri" w:hAnsi="Calibri" w:eastAsia="Calibri" w:cs="Calibri"/>
                <w:b/>
                <w:bCs/>
                <w:color w:val="FFFFFF"/>
                <w:sz w:val="21"/>
                <w:szCs w:val="21"/>
              </w:rPr>
              <w:t>Reference</w:t>
            </w:r>
          </w:p>
        </w:tc>
        <w:tc>
          <w:tcPr>
            <w:tcW w:w="6600" w:type="dxa"/>
            <w:shd w:val="clear" w:color="auto" w:fill="F2F4F7"/>
            <w:tcMar>
              <w:top w:w="80" w:type="dxa"/>
              <w:left w:w="120" w:type="dxa"/>
              <w:bottom w:w="80" w:type="dxa"/>
              <w:right w:w="120" w:type="dxa"/>
            </w:tcMar>
            <w:vAlign w:val="center"/>
          </w:tcPr>
          <w:p w14:paraId="33404D2F">
            <w:pPr>
              <w:jc w:val="left"/>
            </w:pPr>
            <w:r>
              <w:rPr>
                <w:rFonts w:ascii="Calibri" w:hAnsi="Calibri" w:eastAsia="Calibri" w:cs="Calibri"/>
                <w:b w:val="0"/>
                <w:bCs w:val="0"/>
                <w:color w:val="1A1A1A"/>
                <w:sz w:val="21"/>
                <w:szCs w:val="21"/>
              </w:rPr>
              <w:t>HTB Academy “Linux Fundamentals”; CIS Benchmarks for Linux.</w:t>
            </w:r>
          </w:p>
        </w:tc>
      </w:tr>
    </w:tbl>
    <w:p w14:paraId="6592945B">
      <w:pPr>
        <w:spacing w:after="200"/>
      </w:pPr>
    </w:p>
    <w:p w14:paraId="215DCFC1">
      <w:pPr>
        <w:pStyle w:val="2"/>
        <w:spacing w:before="300" w:after="150"/>
      </w:pPr>
      <w:r>
        <w:rPr>
          <w:rFonts w:ascii="Calibri" w:hAnsi="Calibri" w:eastAsia="Calibri" w:cs="Calibri"/>
          <w:b/>
          <w:bCs/>
          <w:color w:val="071427"/>
        </w:rPr>
        <w:t>8. Risk Rating</w:t>
      </w:r>
    </w:p>
    <w:tbl>
      <w:tblPr>
        <w:tblStyle w:val="9"/>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000"/>
        <w:gridCol w:w="1200"/>
        <w:gridCol w:w="1200"/>
        <w:gridCol w:w="3100"/>
      </w:tblGrid>
      <w:tr w14:paraId="42FC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shd w:val="clear" w:color="auto" w:fill="071427"/>
            <w:tcMar>
              <w:top w:w="80" w:type="dxa"/>
              <w:left w:w="120" w:type="dxa"/>
              <w:bottom w:w="80" w:type="dxa"/>
              <w:right w:w="120" w:type="dxa"/>
            </w:tcMar>
            <w:vAlign w:val="center"/>
          </w:tcPr>
          <w:p w14:paraId="3039C9A2">
            <w:pPr>
              <w:jc w:val="left"/>
            </w:pPr>
            <w:r>
              <w:rPr>
                <w:rFonts w:ascii="Calibri" w:hAnsi="Calibri" w:eastAsia="Calibri" w:cs="Calibri"/>
                <w:b/>
                <w:bCs/>
                <w:color w:val="FFFFFF"/>
                <w:sz w:val="19"/>
                <w:szCs w:val="19"/>
              </w:rPr>
              <w:t>Finding ID</w:t>
            </w:r>
          </w:p>
        </w:tc>
        <w:tc>
          <w:tcPr>
            <w:tcW w:w="3000" w:type="dxa"/>
            <w:shd w:val="clear" w:color="auto" w:fill="071427"/>
            <w:tcMar>
              <w:top w:w="80" w:type="dxa"/>
              <w:left w:w="120" w:type="dxa"/>
              <w:bottom w:w="80" w:type="dxa"/>
              <w:right w:w="120" w:type="dxa"/>
            </w:tcMar>
            <w:vAlign w:val="center"/>
          </w:tcPr>
          <w:p w14:paraId="28C35B5B">
            <w:pPr>
              <w:jc w:val="left"/>
            </w:pPr>
            <w:r>
              <w:rPr>
                <w:rFonts w:ascii="Calibri" w:hAnsi="Calibri" w:eastAsia="Calibri" w:cs="Calibri"/>
                <w:b/>
                <w:bCs/>
                <w:color w:val="FFFFFF"/>
                <w:sz w:val="19"/>
                <w:szCs w:val="19"/>
              </w:rPr>
              <w:t>Vulnerability</w:t>
            </w:r>
          </w:p>
        </w:tc>
        <w:tc>
          <w:tcPr>
            <w:tcW w:w="1200" w:type="dxa"/>
            <w:shd w:val="clear" w:color="auto" w:fill="071427"/>
            <w:tcMar>
              <w:top w:w="80" w:type="dxa"/>
              <w:left w:w="120" w:type="dxa"/>
              <w:bottom w:w="80" w:type="dxa"/>
              <w:right w:w="120" w:type="dxa"/>
            </w:tcMar>
            <w:vAlign w:val="center"/>
          </w:tcPr>
          <w:p w14:paraId="075BFAA8">
            <w:pPr>
              <w:jc w:val="left"/>
            </w:pPr>
            <w:r>
              <w:rPr>
                <w:rFonts w:ascii="Calibri" w:hAnsi="Calibri" w:eastAsia="Calibri" w:cs="Calibri"/>
                <w:b/>
                <w:bCs/>
                <w:color w:val="FFFFFF"/>
                <w:sz w:val="19"/>
                <w:szCs w:val="19"/>
              </w:rPr>
              <w:t>Severity</w:t>
            </w:r>
          </w:p>
        </w:tc>
        <w:tc>
          <w:tcPr>
            <w:tcW w:w="1200" w:type="dxa"/>
            <w:shd w:val="clear" w:color="auto" w:fill="071427"/>
            <w:tcMar>
              <w:top w:w="80" w:type="dxa"/>
              <w:left w:w="120" w:type="dxa"/>
              <w:bottom w:w="80" w:type="dxa"/>
              <w:right w:w="120" w:type="dxa"/>
            </w:tcMar>
            <w:vAlign w:val="center"/>
          </w:tcPr>
          <w:p w14:paraId="150D7B52">
            <w:pPr>
              <w:jc w:val="left"/>
            </w:pPr>
            <w:r>
              <w:rPr>
                <w:rFonts w:ascii="Calibri" w:hAnsi="Calibri" w:eastAsia="Calibri" w:cs="Calibri"/>
                <w:b/>
                <w:bCs/>
                <w:color w:val="FFFFFF"/>
                <w:sz w:val="19"/>
                <w:szCs w:val="19"/>
              </w:rPr>
              <w:t>Likelihood</w:t>
            </w:r>
          </w:p>
        </w:tc>
        <w:tc>
          <w:tcPr>
            <w:tcW w:w="3100" w:type="dxa"/>
            <w:shd w:val="clear" w:color="auto" w:fill="071427"/>
            <w:tcMar>
              <w:top w:w="80" w:type="dxa"/>
              <w:left w:w="120" w:type="dxa"/>
              <w:bottom w:w="80" w:type="dxa"/>
              <w:right w:w="120" w:type="dxa"/>
            </w:tcMar>
            <w:vAlign w:val="center"/>
          </w:tcPr>
          <w:p w14:paraId="2FFD56D2">
            <w:pPr>
              <w:jc w:val="left"/>
            </w:pPr>
            <w:r>
              <w:rPr>
                <w:rFonts w:ascii="Calibri" w:hAnsi="Calibri" w:eastAsia="Calibri" w:cs="Calibri"/>
                <w:b/>
                <w:bCs/>
                <w:color w:val="FFFFFF"/>
                <w:sz w:val="19"/>
                <w:szCs w:val="19"/>
              </w:rPr>
              <w:t>Justification</w:t>
            </w:r>
          </w:p>
        </w:tc>
      </w:tr>
      <w:tr w14:paraId="3DD5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shd w:val="clear" w:color="auto" w:fill="FFFFFF"/>
            <w:tcMar>
              <w:top w:w="80" w:type="dxa"/>
              <w:left w:w="120" w:type="dxa"/>
              <w:bottom w:w="80" w:type="dxa"/>
              <w:right w:w="120" w:type="dxa"/>
            </w:tcMar>
            <w:vAlign w:val="center"/>
          </w:tcPr>
          <w:p w14:paraId="424364D9">
            <w:pPr>
              <w:jc w:val="left"/>
            </w:pPr>
            <w:r>
              <w:rPr>
                <w:rFonts w:ascii="Calibri" w:hAnsi="Calibri" w:eastAsia="Calibri" w:cs="Calibri"/>
                <w:b w:val="0"/>
                <w:bCs w:val="0"/>
                <w:color w:val="1A1A1A"/>
                <w:sz w:val="19"/>
                <w:szCs w:val="19"/>
              </w:rPr>
              <w:t>PT-01</w:t>
            </w:r>
          </w:p>
        </w:tc>
        <w:tc>
          <w:tcPr>
            <w:tcW w:w="3000" w:type="dxa"/>
            <w:shd w:val="clear" w:color="auto" w:fill="FFFFFF"/>
            <w:tcMar>
              <w:top w:w="80" w:type="dxa"/>
              <w:left w:w="120" w:type="dxa"/>
              <w:bottom w:w="80" w:type="dxa"/>
              <w:right w:w="120" w:type="dxa"/>
            </w:tcMar>
            <w:vAlign w:val="center"/>
          </w:tcPr>
          <w:p w14:paraId="4961E40D">
            <w:pPr>
              <w:jc w:val="left"/>
            </w:pPr>
            <w:r>
              <w:rPr>
                <w:rFonts w:ascii="Calibri" w:hAnsi="Calibri" w:eastAsia="Calibri" w:cs="Calibri"/>
                <w:b w:val="0"/>
                <w:bCs w:val="0"/>
                <w:color w:val="1A1A1A"/>
                <w:sz w:val="19"/>
                <w:szCs w:val="19"/>
              </w:rPr>
              <w:t>Anonymous FTP / exposed SSH key &amp; credentials</w:t>
            </w:r>
          </w:p>
        </w:tc>
        <w:tc>
          <w:tcPr>
            <w:tcW w:w="1200" w:type="dxa"/>
            <w:shd w:val="clear" w:color="auto" w:fill="C0392B"/>
            <w:tcMar>
              <w:top w:w="80" w:type="dxa"/>
              <w:left w:w="120" w:type="dxa"/>
              <w:bottom w:w="80" w:type="dxa"/>
              <w:right w:w="120" w:type="dxa"/>
            </w:tcMar>
            <w:vAlign w:val="center"/>
          </w:tcPr>
          <w:p w14:paraId="5227C7C4">
            <w:pPr>
              <w:jc w:val="left"/>
            </w:pPr>
            <w:r>
              <w:rPr>
                <w:rFonts w:ascii="Calibri" w:hAnsi="Calibri" w:eastAsia="Calibri" w:cs="Calibri"/>
                <w:b w:val="0"/>
                <w:bCs w:val="0"/>
                <w:color w:val="FFFFFF"/>
                <w:sz w:val="19"/>
                <w:szCs w:val="19"/>
              </w:rPr>
              <w:t>High</w:t>
            </w:r>
          </w:p>
        </w:tc>
        <w:tc>
          <w:tcPr>
            <w:tcW w:w="1200" w:type="dxa"/>
            <w:shd w:val="clear" w:color="auto" w:fill="FFFFFF"/>
            <w:tcMar>
              <w:top w:w="80" w:type="dxa"/>
              <w:left w:w="120" w:type="dxa"/>
              <w:bottom w:w="80" w:type="dxa"/>
              <w:right w:w="120" w:type="dxa"/>
            </w:tcMar>
            <w:vAlign w:val="center"/>
          </w:tcPr>
          <w:p w14:paraId="7334B868">
            <w:pPr>
              <w:jc w:val="left"/>
            </w:pPr>
            <w:r>
              <w:rPr>
                <w:rFonts w:ascii="Calibri" w:hAnsi="Calibri" w:eastAsia="Calibri" w:cs="Calibri"/>
                <w:b w:val="0"/>
                <w:bCs w:val="0"/>
                <w:color w:val="1A1A1A"/>
                <w:sz w:val="19"/>
                <w:szCs w:val="19"/>
              </w:rPr>
              <w:t>High</w:t>
            </w:r>
          </w:p>
        </w:tc>
        <w:tc>
          <w:tcPr>
            <w:tcW w:w="3100" w:type="dxa"/>
            <w:shd w:val="clear" w:color="auto" w:fill="FFFFFF"/>
            <w:tcMar>
              <w:top w:w="80" w:type="dxa"/>
              <w:left w:w="120" w:type="dxa"/>
              <w:bottom w:w="80" w:type="dxa"/>
              <w:right w:w="120" w:type="dxa"/>
            </w:tcMar>
            <w:vAlign w:val="center"/>
          </w:tcPr>
          <w:p w14:paraId="53E1A047">
            <w:pPr>
              <w:jc w:val="left"/>
            </w:pPr>
            <w:r>
              <w:rPr>
                <w:rFonts w:ascii="Calibri" w:hAnsi="Calibri" w:eastAsia="Calibri" w:cs="Calibri"/>
                <w:b w:val="0"/>
                <w:bCs w:val="0"/>
                <w:color w:val="1A1A1A"/>
                <w:sz w:val="19"/>
                <w:szCs w:val="19"/>
              </w:rPr>
              <w:t>Directly yields valid credentials and a private key with no exploitation effort required.</w:t>
            </w:r>
          </w:p>
        </w:tc>
      </w:tr>
      <w:tr w14:paraId="043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shd w:val="clear" w:color="auto" w:fill="F2F4F7"/>
            <w:tcMar>
              <w:top w:w="80" w:type="dxa"/>
              <w:left w:w="120" w:type="dxa"/>
              <w:bottom w:w="80" w:type="dxa"/>
              <w:right w:w="120" w:type="dxa"/>
            </w:tcMar>
            <w:vAlign w:val="center"/>
          </w:tcPr>
          <w:p w14:paraId="2F742456">
            <w:pPr>
              <w:jc w:val="left"/>
            </w:pPr>
            <w:r>
              <w:rPr>
                <w:rFonts w:ascii="Calibri" w:hAnsi="Calibri" w:eastAsia="Calibri" w:cs="Calibri"/>
                <w:b w:val="0"/>
                <w:bCs w:val="0"/>
                <w:color w:val="1A1A1A"/>
                <w:sz w:val="19"/>
                <w:szCs w:val="19"/>
              </w:rPr>
              <w:t>PT-02</w:t>
            </w:r>
          </w:p>
        </w:tc>
        <w:tc>
          <w:tcPr>
            <w:tcW w:w="3000" w:type="dxa"/>
            <w:shd w:val="clear" w:color="auto" w:fill="F2F4F7"/>
            <w:tcMar>
              <w:top w:w="80" w:type="dxa"/>
              <w:left w:w="120" w:type="dxa"/>
              <w:bottom w:w="80" w:type="dxa"/>
              <w:right w:w="120" w:type="dxa"/>
            </w:tcMar>
            <w:vAlign w:val="center"/>
          </w:tcPr>
          <w:p w14:paraId="01CA2A21">
            <w:pPr>
              <w:jc w:val="left"/>
            </w:pPr>
            <w:r>
              <w:rPr>
                <w:rFonts w:ascii="Calibri" w:hAnsi="Calibri" w:eastAsia="Calibri" w:cs="Calibri"/>
                <w:b w:val="0"/>
                <w:bCs w:val="0"/>
                <w:color w:val="1A1A1A"/>
                <w:sz w:val="19"/>
                <w:szCs w:val="19"/>
              </w:rPr>
              <w:t>Insecure sudo configuration (writeable root script)</w:t>
            </w:r>
          </w:p>
        </w:tc>
        <w:tc>
          <w:tcPr>
            <w:tcW w:w="1200" w:type="dxa"/>
            <w:shd w:val="clear" w:color="auto" w:fill="C0392B"/>
            <w:tcMar>
              <w:top w:w="80" w:type="dxa"/>
              <w:left w:w="120" w:type="dxa"/>
              <w:bottom w:w="80" w:type="dxa"/>
              <w:right w:w="120" w:type="dxa"/>
            </w:tcMar>
            <w:vAlign w:val="center"/>
          </w:tcPr>
          <w:p w14:paraId="2BC7971B">
            <w:pPr>
              <w:jc w:val="left"/>
            </w:pPr>
            <w:r>
              <w:rPr>
                <w:rFonts w:ascii="Calibri" w:hAnsi="Calibri" w:eastAsia="Calibri" w:cs="Calibri"/>
                <w:b w:val="0"/>
                <w:bCs w:val="0"/>
                <w:color w:val="FFFFFF"/>
                <w:sz w:val="19"/>
                <w:szCs w:val="19"/>
              </w:rPr>
              <w:t>High</w:t>
            </w:r>
          </w:p>
        </w:tc>
        <w:tc>
          <w:tcPr>
            <w:tcW w:w="1200" w:type="dxa"/>
            <w:shd w:val="clear" w:color="auto" w:fill="F2F4F7"/>
            <w:tcMar>
              <w:top w:w="80" w:type="dxa"/>
              <w:left w:w="120" w:type="dxa"/>
              <w:bottom w:w="80" w:type="dxa"/>
              <w:right w:w="120" w:type="dxa"/>
            </w:tcMar>
            <w:vAlign w:val="center"/>
          </w:tcPr>
          <w:p w14:paraId="3AF29F10">
            <w:pPr>
              <w:jc w:val="left"/>
            </w:pPr>
            <w:r>
              <w:rPr>
                <w:rFonts w:ascii="Calibri" w:hAnsi="Calibri" w:eastAsia="Calibri" w:cs="Calibri"/>
                <w:b w:val="0"/>
                <w:bCs w:val="0"/>
                <w:color w:val="1A1A1A"/>
                <w:sz w:val="19"/>
                <w:szCs w:val="19"/>
              </w:rPr>
              <w:t>High</w:t>
            </w:r>
          </w:p>
        </w:tc>
        <w:tc>
          <w:tcPr>
            <w:tcW w:w="3100" w:type="dxa"/>
            <w:shd w:val="clear" w:color="auto" w:fill="F2F4F7"/>
            <w:tcMar>
              <w:top w:w="80" w:type="dxa"/>
              <w:left w:w="120" w:type="dxa"/>
              <w:bottom w:w="80" w:type="dxa"/>
              <w:right w:w="120" w:type="dxa"/>
            </w:tcMar>
            <w:vAlign w:val="center"/>
          </w:tcPr>
          <w:p w14:paraId="096D9766">
            <w:pPr>
              <w:jc w:val="left"/>
            </w:pPr>
            <w:r>
              <w:rPr>
                <w:rFonts w:ascii="Calibri" w:hAnsi="Calibri" w:eastAsia="Calibri" w:cs="Calibri"/>
                <w:b w:val="0"/>
                <w:bCs w:val="0"/>
                <w:color w:val="1A1A1A"/>
                <w:sz w:val="19"/>
                <w:szCs w:val="19"/>
              </w:rPr>
              <w:t>Trivial to abuse once a foothold exists; results in full root compromise.</w:t>
            </w:r>
          </w:p>
        </w:tc>
      </w:tr>
      <w:tr w14:paraId="78FB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shd w:val="clear" w:color="auto" w:fill="FFFFFF"/>
            <w:tcMar>
              <w:top w:w="80" w:type="dxa"/>
              <w:left w:w="120" w:type="dxa"/>
              <w:bottom w:w="80" w:type="dxa"/>
              <w:right w:w="120" w:type="dxa"/>
            </w:tcMar>
            <w:vAlign w:val="center"/>
          </w:tcPr>
          <w:p w14:paraId="2D6B0EB9">
            <w:pPr>
              <w:jc w:val="left"/>
            </w:pPr>
            <w:r>
              <w:rPr>
                <w:rFonts w:ascii="Calibri" w:hAnsi="Calibri" w:eastAsia="Calibri" w:cs="Calibri"/>
                <w:b w:val="0"/>
                <w:bCs w:val="0"/>
                <w:color w:val="1A1A1A"/>
                <w:sz w:val="19"/>
                <w:szCs w:val="19"/>
              </w:rPr>
              <w:t>PT-03</w:t>
            </w:r>
          </w:p>
        </w:tc>
        <w:tc>
          <w:tcPr>
            <w:tcW w:w="3000" w:type="dxa"/>
            <w:shd w:val="clear" w:color="auto" w:fill="FFFFFF"/>
            <w:tcMar>
              <w:top w:w="80" w:type="dxa"/>
              <w:left w:w="120" w:type="dxa"/>
              <w:bottom w:w="80" w:type="dxa"/>
              <w:right w:w="120" w:type="dxa"/>
            </w:tcMar>
            <w:vAlign w:val="center"/>
          </w:tcPr>
          <w:p w14:paraId="6D0FB9D7">
            <w:pPr>
              <w:jc w:val="left"/>
            </w:pPr>
            <w:r>
              <w:rPr>
                <w:rFonts w:ascii="Calibri" w:hAnsi="Calibri" w:eastAsia="Calibri" w:cs="Calibri"/>
                <w:b w:val="0"/>
                <w:bCs w:val="0"/>
                <w:color w:val="1A1A1A"/>
                <w:sz w:val="19"/>
                <w:szCs w:val="19"/>
              </w:rPr>
              <w:t>World-readable sensitive file permissions</w:t>
            </w:r>
          </w:p>
        </w:tc>
        <w:tc>
          <w:tcPr>
            <w:tcW w:w="1200" w:type="dxa"/>
            <w:shd w:val="clear" w:color="auto" w:fill="B9770E"/>
            <w:tcMar>
              <w:top w:w="80" w:type="dxa"/>
              <w:left w:w="120" w:type="dxa"/>
              <w:bottom w:w="80" w:type="dxa"/>
              <w:right w:w="120" w:type="dxa"/>
            </w:tcMar>
            <w:vAlign w:val="center"/>
          </w:tcPr>
          <w:p w14:paraId="2967D59F">
            <w:pPr>
              <w:jc w:val="left"/>
            </w:pPr>
            <w:r>
              <w:rPr>
                <w:rFonts w:ascii="Calibri" w:hAnsi="Calibri" w:eastAsia="Calibri" w:cs="Calibri"/>
                <w:b w:val="0"/>
                <w:bCs w:val="0"/>
                <w:color w:val="FFFFFF"/>
                <w:sz w:val="19"/>
                <w:szCs w:val="19"/>
              </w:rPr>
              <w:t>Medium</w:t>
            </w:r>
          </w:p>
        </w:tc>
        <w:tc>
          <w:tcPr>
            <w:tcW w:w="1200" w:type="dxa"/>
            <w:shd w:val="clear" w:color="auto" w:fill="FFFFFF"/>
            <w:tcMar>
              <w:top w:w="80" w:type="dxa"/>
              <w:left w:w="120" w:type="dxa"/>
              <w:bottom w:w="80" w:type="dxa"/>
              <w:right w:w="120" w:type="dxa"/>
            </w:tcMar>
            <w:vAlign w:val="center"/>
          </w:tcPr>
          <w:p w14:paraId="2032C1DD">
            <w:pPr>
              <w:jc w:val="left"/>
            </w:pPr>
            <w:r>
              <w:rPr>
                <w:rFonts w:ascii="Calibri" w:hAnsi="Calibri" w:eastAsia="Calibri" w:cs="Calibri"/>
                <w:b w:val="0"/>
                <w:bCs w:val="0"/>
                <w:color w:val="1A1A1A"/>
                <w:sz w:val="19"/>
                <w:szCs w:val="19"/>
              </w:rPr>
              <w:t>Medium</w:t>
            </w:r>
          </w:p>
        </w:tc>
        <w:tc>
          <w:tcPr>
            <w:tcW w:w="3100" w:type="dxa"/>
            <w:shd w:val="clear" w:color="auto" w:fill="FFFFFF"/>
            <w:tcMar>
              <w:top w:w="80" w:type="dxa"/>
              <w:left w:w="120" w:type="dxa"/>
              <w:bottom w:w="80" w:type="dxa"/>
              <w:right w:w="120" w:type="dxa"/>
            </w:tcMar>
            <w:vAlign w:val="center"/>
          </w:tcPr>
          <w:p w14:paraId="2D7EAF4D">
            <w:pPr>
              <w:jc w:val="left"/>
            </w:pPr>
            <w:r>
              <w:rPr>
                <w:rFonts w:ascii="Calibri" w:hAnsi="Calibri" w:eastAsia="Calibri" w:cs="Calibri"/>
                <w:b w:val="0"/>
                <w:bCs w:val="0"/>
                <w:color w:val="1A1A1A"/>
                <w:sz w:val="19"/>
                <w:szCs w:val="19"/>
              </w:rPr>
              <w:t>Depends on which files are exposed, but is a common enabler for further escalation.</w:t>
            </w:r>
          </w:p>
        </w:tc>
      </w:tr>
    </w:tbl>
    <w:p w14:paraId="17A82B22">
      <w:pPr>
        <w:spacing w:after="200"/>
      </w:pPr>
    </w:p>
    <w:p w14:paraId="57259193">
      <w:pPr>
        <w:pStyle w:val="2"/>
        <w:spacing w:before="300" w:after="150"/>
      </w:pPr>
      <w:r>
        <w:rPr>
          <w:rFonts w:ascii="Calibri" w:hAnsi="Calibri" w:eastAsia="Calibri" w:cs="Calibri"/>
          <w:b/>
          <w:bCs/>
          <w:color w:val="071427"/>
        </w:rPr>
        <w:t>9. Impact</w:t>
      </w:r>
    </w:p>
    <w:p w14:paraId="290BBF28">
      <w:pPr>
        <w:spacing w:after="120"/>
      </w:pPr>
      <w:r>
        <w:rPr>
          <w:rFonts w:ascii="Calibri" w:hAnsi="Calibri" w:eastAsia="Calibri" w:cs="Calibri"/>
          <w:sz w:val="22"/>
          <w:szCs w:val="22"/>
        </w:rPr>
        <w:t>Taken together, the three findings show a clear real-world pattern: initial footholds are gained through exposed information (anonymous FTP shares, leaked keys and credentials), and full compromise follows from configuration weaknesses that unprivileged users should never be able to exploit (writeable root-owned scripts, over-permissive file permissions). In a production environment, this chain would allow an external attacker to move from no access to complete root/administrator control of a host within a short, low-effort assessment — without needing any advanced exploit development.</w:t>
      </w:r>
    </w:p>
    <w:p w14:paraId="1BD0D1D9">
      <w:pPr>
        <w:pStyle w:val="2"/>
        <w:spacing w:before="300" w:after="150"/>
      </w:pPr>
      <w:r>
        <w:rPr>
          <w:rFonts w:ascii="Calibri" w:hAnsi="Calibri" w:eastAsia="Calibri" w:cs="Calibri"/>
          <w:b/>
          <w:bCs/>
          <w:color w:val="071427"/>
        </w:rPr>
        <w:t>10. Recommendation</w:t>
      </w:r>
    </w:p>
    <w:p w14:paraId="5E9D5FB1">
      <w:pPr>
        <w:pStyle w:val="16"/>
        <w:numPr>
          <w:ilvl w:val="0"/>
          <w:numId w:val="1"/>
        </w:numPr>
        <w:spacing w:after="80"/>
      </w:pPr>
      <w:r>
        <w:rPr>
          <w:rFonts w:ascii="Calibri" w:hAnsi="Calibri" w:eastAsia="Calibri" w:cs="Calibri"/>
          <w:sz w:val="22"/>
          <w:szCs w:val="22"/>
        </w:rPr>
        <w:t>Disable anonymous authentication on all FTP services and audit shared directories for sensitive files (keys, backups, history files).</w:t>
      </w:r>
    </w:p>
    <w:p w14:paraId="48D1C8AE">
      <w:pPr>
        <w:pStyle w:val="16"/>
        <w:numPr>
          <w:ilvl w:val="0"/>
          <w:numId w:val="1"/>
        </w:numPr>
        <w:spacing w:after="80"/>
      </w:pPr>
      <w:r>
        <w:rPr>
          <w:rFonts w:ascii="Calibri" w:hAnsi="Calibri" w:eastAsia="Calibri" w:cs="Calibri"/>
          <w:sz w:val="22"/>
          <w:szCs w:val="22"/>
        </w:rPr>
        <w:t>Apply the principle of least privilege to sudoers entries; never grant NOPASSWD access to writeable or attacker-modifiable scripts.</w:t>
      </w:r>
    </w:p>
    <w:p w14:paraId="6BC7E093">
      <w:pPr>
        <w:pStyle w:val="16"/>
        <w:numPr>
          <w:ilvl w:val="0"/>
          <w:numId w:val="1"/>
        </w:numPr>
        <w:spacing w:after="80"/>
      </w:pPr>
      <w:r>
        <w:rPr>
          <w:rFonts w:ascii="Calibri" w:hAnsi="Calibri" w:eastAsia="Calibri" w:cs="Calibri"/>
          <w:sz w:val="22"/>
          <w:szCs w:val="22"/>
        </w:rPr>
        <w:t>Ensure privileged scripts are owned by root with restrictive permissions (e.g., 750 or stricter) so they cannot be modified by unprivileged accounts.</w:t>
      </w:r>
    </w:p>
    <w:p w14:paraId="5A99E6B3">
      <w:pPr>
        <w:pStyle w:val="16"/>
        <w:numPr>
          <w:ilvl w:val="0"/>
          <w:numId w:val="1"/>
        </w:numPr>
        <w:spacing w:after="80"/>
      </w:pPr>
      <w:r>
        <w:rPr>
          <w:rFonts w:ascii="Calibri" w:hAnsi="Calibri" w:eastAsia="Calibri" w:cs="Calibri"/>
          <w:sz w:val="22"/>
          <w:szCs w:val="22"/>
        </w:rPr>
        <w:t>Adopt routine automated enumeration (e.g., LinPEAS, CrackMapExec) as part of internal security audits to proactively catch these misconfigurations before attackers do.</w:t>
      </w:r>
    </w:p>
    <w:p w14:paraId="76E26A11">
      <w:pPr>
        <w:pStyle w:val="16"/>
        <w:numPr>
          <w:ilvl w:val="0"/>
          <w:numId w:val="1"/>
        </w:numPr>
        <w:spacing w:after="80"/>
      </w:pPr>
      <w:r>
        <w:rPr>
          <w:rFonts w:ascii="Calibri" w:hAnsi="Calibri" w:eastAsia="Calibri" w:cs="Calibri"/>
          <w:sz w:val="22"/>
          <w:szCs w:val="22"/>
        </w:rPr>
        <w:t>Enforce server-side validation of any file upload functionality and disable script execution in upload directories.</w:t>
      </w:r>
    </w:p>
    <w:p w14:paraId="73257F1A">
      <w:pPr>
        <w:pStyle w:val="2"/>
        <w:spacing w:before="300" w:after="150"/>
      </w:pPr>
      <w:r>
        <w:rPr>
          <w:rFonts w:ascii="Calibri" w:hAnsi="Calibri" w:eastAsia="Calibri" w:cs="Calibri"/>
          <w:b/>
          <w:bCs/>
          <w:color w:val="071427"/>
        </w:rPr>
        <w:t>11. Conclusion</w:t>
      </w:r>
    </w:p>
    <w:p w14:paraId="0B9FFF63">
      <w:pPr>
        <w:spacing w:after="120"/>
        <w:rPr>
          <w:rFonts w:ascii="Calibri" w:hAnsi="Calibri" w:eastAsia="Calibri" w:cs="Calibri"/>
          <w:sz w:val="22"/>
          <w:szCs w:val="22"/>
        </w:rPr>
      </w:pPr>
      <w:r>
        <w:rPr>
          <w:rFonts w:ascii="Calibri" w:hAnsi="Calibri" w:eastAsia="Calibri" w:cs="Calibri"/>
          <w:sz w:val="22"/>
          <w:szCs w:val="22"/>
        </w:rPr>
        <w:t>This assignment reinforced the full penetration testing lifecycle, from initial enumeration through exploitation, privilege escalation, and professional reporting. The most important lesson across all three modules was that misconfiguration — not sophisticated exploit development — is the most common root cause of real-world compromise: exposed anonymous services, over-permissive sudo rules, and weak file permissions each independently allowed a path to full compromise. Practicing the discipline of documenting scope, evidence, risk, and remediation for each finding, as required by the VAPT report structure, is directly transferable to professional penetration testing engagements.</w:t>
      </w:r>
    </w:p>
    <w:p w14:paraId="495C0CBB">
      <w:pPr>
        <w:spacing w:after="120"/>
        <w:rPr>
          <w:rFonts w:ascii="Calibri" w:hAnsi="Calibri" w:eastAsia="Calibri" w:cs="Calibri"/>
          <w:sz w:val="22"/>
          <w:szCs w:val="22"/>
        </w:rPr>
      </w:pPr>
    </w:p>
    <w:p w14:paraId="6039FF0C">
      <w:pPr>
        <w:spacing w:after="120"/>
        <w:rPr>
          <w:rFonts w:ascii="Calibri" w:hAnsi="Calibri" w:eastAsia="Calibri" w:cs="Calibri"/>
          <w:sz w:val="22"/>
          <w:szCs w:val="22"/>
        </w:rPr>
      </w:pPr>
    </w:p>
    <w:p w14:paraId="7ED23A22">
      <w:pPr>
        <w:spacing w:after="120"/>
        <w:rPr>
          <w:rFonts w:ascii="Calibri" w:hAnsi="Calibri" w:eastAsia="Calibri" w:cs="Calibri"/>
          <w:sz w:val="22"/>
          <w:szCs w:val="22"/>
        </w:rPr>
      </w:pPr>
    </w:p>
    <w:p w14:paraId="042F0E0C">
      <w:pPr>
        <w:spacing w:after="120"/>
        <w:rPr>
          <w:rFonts w:ascii="Calibri" w:hAnsi="Calibri" w:eastAsia="Calibri" w:cs="Calibri"/>
          <w:sz w:val="22"/>
          <w:szCs w:val="22"/>
        </w:rPr>
      </w:pPr>
    </w:p>
    <w:p w14:paraId="19864D4F">
      <w:pPr>
        <w:spacing w:after="120"/>
        <w:rPr>
          <w:rFonts w:ascii="Calibri" w:hAnsi="Calibri" w:eastAsia="Calibri" w:cs="Calibri"/>
          <w:sz w:val="22"/>
          <w:szCs w:val="22"/>
        </w:rPr>
      </w:pPr>
    </w:p>
    <w:p w14:paraId="031DDD2B">
      <w:pPr>
        <w:spacing w:after="120"/>
        <w:rPr>
          <w:rFonts w:ascii="Calibri" w:hAnsi="Calibri" w:eastAsia="Calibri" w:cs="Calibri"/>
          <w:sz w:val="22"/>
          <w:szCs w:val="22"/>
        </w:rPr>
      </w:pPr>
    </w:p>
    <w:p w14:paraId="7172C26D">
      <w:pPr>
        <w:spacing w:after="120"/>
        <w:rPr>
          <w:rFonts w:ascii="Calibri" w:hAnsi="Calibri" w:eastAsia="Calibri" w:cs="Calibri"/>
          <w:sz w:val="22"/>
          <w:szCs w:val="22"/>
        </w:rPr>
      </w:pPr>
    </w:p>
    <w:p w14:paraId="33B49E4C">
      <w:pPr>
        <w:spacing w:after="120"/>
        <w:rPr>
          <w:rFonts w:ascii="Calibri" w:hAnsi="Calibri" w:eastAsia="Calibri" w:cs="Calibri"/>
          <w:sz w:val="22"/>
          <w:szCs w:val="22"/>
        </w:rPr>
      </w:pPr>
    </w:p>
    <w:p w14:paraId="77DAC5FC">
      <w:pPr>
        <w:spacing w:after="120"/>
        <w:rPr>
          <w:rFonts w:ascii="Calibri" w:hAnsi="Calibri" w:eastAsia="Calibri" w:cs="Calibri"/>
          <w:sz w:val="22"/>
          <w:szCs w:val="22"/>
        </w:rPr>
      </w:pPr>
    </w:p>
    <w:p w14:paraId="0D60A112">
      <w:pPr>
        <w:spacing w:after="120"/>
        <w:rPr>
          <w:rFonts w:ascii="Calibri" w:hAnsi="Calibri" w:eastAsia="Calibri" w:cs="Calibri"/>
          <w:sz w:val="22"/>
          <w:szCs w:val="22"/>
        </w:rPr>
      </w:pPr>
    </w:p>
    <w:p w14:paraId="5DEE21E7">
      <w:pPr>
        <w:pStyle w:val="2"/>
        <w:spacing w:before="300" w:after="150"/>
      </w:pPr>
      <w:r>
        <w:rPr>
          <w:rFonts w:ascii="Calibri" w:hAnsi="Calibri" w:eastAsia="Calibri" w:cs="Calibri"/>
          <w:b/>
          <w:bCs/>
          <w:color w:val="071427"/>
        </w:rPr>
        <w:t>12. Report Quality Checklist</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300"/>
      </w:tblGrid>
      <w:tr w14:paraId="238C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33DC3731">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5983EFB1">
            <w:pPr>
              <w:jc w:val="left"/>
            </w:pPr>
            <w:r>
              <w:rPr>
                <w:rFonts w:ascii="Calibri" w:hAnsi="Calibri" w:eastAsia="Calibri" w:cs="Calibri"/>
                <w:b w:val="0"/>
                <w:bCs w:val="0"/>
                <w:color w:val="1A1A1A"/>
                <w:sz w:val="21"/>
                <w:szCs w:val="21"/>
              </w:rPr>
              <w:t>Completed the assigned modules in order (Module 90 substituted with Linux Fundamentals due to insufficient HTB cubes, as noted).</w:t>
            </w:r>
          </w:p>
        </w:tc>
      </w:tr>
      <w:tr w14:paraId="2CC1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42C224EC">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1E6AED69">
            <w:pPr>
              <w:jc w:val="left"/>
            </w:pPr>
            <w:r>
              <w:rPr>
                <w:rFonts w:ascii="Calibri" w:hAnsi="Calibri" w:eastAsia="Calibri" w:cs="Calibri"/>
                <w:b w:val="0"/>
                <w:bCs w:val="0"/>
                <w:color w:val="1A1A1A"/>
                <w:sz w:val="21"/>
                <w:szCs w:val="21"/>
              </w:rPr>
              <w:t>Used only authorized HTB lab targets.</w:t>
            </w:r>
          </w:p>
        </w:tc>
      </w:tr>
      <w:tr w14:paraId="71C4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4509D9B0">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2BD54441">
            <w:pPr>
              <w:jc w:val="left"/>
            </w:pPr>
            <w:r>
              <w:rPr>
                <w:rFonts w:ascii="Calibri" w:hAnsi="Calibri" w:eastAsia="Calibri" w:cs="Calibri"/>
                <w:b w:val="0"/>
                <w:bCs w:val="0"/>
                <w:color w:val="1A1A1A"/>
                <w:sz w:val="21"/>
                <w:szCs w:val="21"/>
              </w:rPr>
              <w:t>Wrote the report in my own words.</w:t>
            </w:r>
          </w:p>
        </w:tc>
      </w:tr>
      <w:tr w14:paraId="654A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73D4E9C0">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09331063">
            <w:pPr>
              <w:jc w:val="left"/>
            </w:pPr>
            <w:r>
              <w:rPr>
                <w:rFonts w:ascii="Calibri" w:hAnsi="Calibri" w:eastAsia="Calibri" w:cs="Calibri"/>
                <w:b w:val="0"/>
                <w:bCs w:val="0"/>
                <w:color w:val="1A1A1A"/>
                <w:sz w:val="21"/>
                <w:szCs w:val="21"/>
              </w:rPr>
              <w:t>Every finding has supporting evidence.</w:t>
            </w:r>
          </w:p>
        </w:tc>
      </w:tr>
      <w:tr w14:paraId="6A65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2FB28596">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57D250BC">
            <w:pPr>
              <w:jc w:val="left"/>
            </w:pPr>
            <w:r>
              <w:rPr>
                <w:rFonts w:ascii="Calibri" w:hAnsi="Calibri" w:eastAsia="Calibri" w:cs="Calibri"/>
                <w:b w:val="0"/>
                <w:bCs w:val="0"/>
                <w:color w:val="1A1A1A"/>
                <w:sz w:val="21"/>
                <w:szCs w:val="21"/>
              </w:rPr>
              <w:t>Screenshots are readable, relevant, and captioned.</w:t>
            </w:r>
          </w:p>
        </w:tc>
      </w:tr>
      <w:tr w14:paraId="0A09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6F7FF568">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4F659146">
            <w:pPr>
              <w:jc w:val="left"/>
            </w:pPr>
            <w:r>
              <w:rPr>
                <w:rFonts w:ascii="Calibri" w:hAnsi="Calibri" w:eastAsia="Calibri" w:cs="Calibri"/>
                <w:b w:val="0"/>
                <w:bCs w:val="0"/>
                <w:color w:val="1A1A1A"/>
                <w:sz w:val="21"/>
                <w:szCs w:val="21"/>
              </w:rPr>
              <w:t>Risk ratings are justified.</w:t>
            </w:r>
          </w:p>
        </w:tc>
      </w:tr>
      <w:tr w14:paraId="3247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43755B7E">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239F71B3">
            <w:pPr>
              <w:jc w:val="left"/>
            </w:pPr>
            <w:r>
              <w:rPr>
                <w:rFonts w:ascii="Calibri" w:hAnsi="Calibri" w:eastAsia="Calibri" w:cs="Calibri"/>
                <w:b w:val="0"/>
                <w:bCs w:val="0"/>
                <w:color w:val="1A1A1A"/>
                <w:sz w:val="21"/>
                <w:szCs w:val="21"/>
              </w:rPr>
              <w:t>Recommendations are realistic.</w:t>
            </w:r>
          </w:p>
        </w:tc>
      </w:tr>
      <w:tr w14:paraId="04F6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shd w:val="clear" w:color="auto" w:fill="1E8449"/>
            <w:tcMar>
              <w:top w:w="80" w:type="dxa"/>
              <w:left w:w="120" w:type="dxa"/>
              <w:bottom w:w="80" w:type="dxa"/>
              <w:right w:w="120" w:type="dxa"/>
            </w:tcMar>
            <w:vAlign w:val="center"/>
          </w:tcPr>
          <w:p w14:paraId="6DE1DA25">
            <w:pPr>
              <w:jc w:val="center"/>
            </w:pPr>
            <w:r>
              <w:rPr>
                <w:rFonts w:ascii="Calibri" w:hAnsi="Calibri" w:eastAsia="Calibri" w:cs="Calibri"/>
                <w:b/>
                <w:bCs/>
                <w:color w:val="FFFFFF"/>
                <w:sz w:val="21"/>
                <w:szCs w:val="21"/>
              </w:rPr>
              <w:t>✓</w:t>
            </w:r>
          </w:p>
        </w:tc>
        <w:tc>
          <w:tcPr>
            <w:tcW w:w="8300" w:type="dxa"/>
            <w:shd w:val="clear" w:color="auto" w:fill="F2F4F7"/>
            <w:tcMar>
              <w:top w:w="80" w:type="dxa"/>
              <w:left w:w="120" w:type="dxa"/>
              <w:bottom w:w="80" w:type="dxa"/>
              <w:right w:w="120" w:type="dxa"/>
            </w:tcMar>
            <w:vAlign w:val="center"/>
          </w:tcPr>
          <w:p w14:paraId="4F03FF65">
            <w:pPr>
              <w:jc w:val="left"/>
            </w:pPr>
            <w:r>
              <w:rPr>
                <w:rFonts w:ascii="Calibri" w:hAnsi="Calibri" w:eastAsia="Calibri" w:cs="Calibri"/>
                <w:b w:val="0"/>
                <w:bCs w:val="0"/>
                <w:color w:val="1A1A1A"/>
                <w:sz w:val="21"/>
                <w:szCs w:val="21"/>
              </w:rPr>
              <w:t>I can explain every screenshot and command in this report.</w:t>
            </w:r>
          </w:p>
        </w:tc>
      </w:tr>
    </w:tbl>
    <w:p w14:paraId="748415A5">
      <w:pPr>
        <w:pStyle w:val="2"/>
        <w:spacing w:before="300" w:after="150"/>
      </w:pPr>
    </w:p>
    <w:sectPr>
      <w:headerReference r:id="rId3" w:type="default"/>
      <w:footerReference r:id="rId4" w:type="default"/>
      <w:pgSz w:w="12240" w:h="15840"/>
      <w:pgMar w:top="1440" w:right="1440" w:bottom="1440" w:left="1440" w:header="708" w:footer="708" w:gutter="0"/>
      <w:pgBorders>
        <w:top w:val="single" w:color="548DD4" w:themeColor="text2" w:themeTint="99" w:sz="12" w:space="1"/>
        <w:left w:val="single" w:color="548DD4" w:themeColor="text2" w:themeTint="99" w:sz="12" w:space="4"/>
        <w:bottom w:val="single" w:color="548DD4" w:themeColor="text2" w:themeTint="99" w:sz="12" w:space="1"/>
        <w:right w:val="single" w:color="548DD4" w:themeColor="text2" w:themeTint="99"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65989">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0CE51">
    <w:pPr>
      <w:jc w:val="right"/>
    </w:pPr>
    <w:r>
      <w:rPr>
        <w:rFonts w:ascii="Calibri" w:hAnsi="Calibri" w:eastAsia="Calibri" w:cs="Calibri"/>
        <w:color w:val="5A5A5A"/>
        <w:sz w:val="16"/>
        <w:szCs w:val="16"/>
      </w:rPr>
      <w:t>AstraQuantum Tech – Week 5 VAPT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6FEC5B2D"/>
    <w:rsid w:val="71927325"/>
    <w:rsid w:val="744334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2462</Words>
  <Characters>15012</Characters>
  <TotalTime>1</TotalTime>
  <ScaleCrop>false</ScaleCrop>
  <LinksUpToDate>false</LinksUpToDate>
  <CharactersWithSpaces>17271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2026-09-13T09:15:00Z</dcterms:created>
  <dc:creator>Un-named</dc:creator>
  <cp:lastModifiedBy>Raza Javaid</cp:lastModifiedBy>
  <dcterms:modified xsi:type="dcterms:W3CDTF">2026-09-13T09:37:59Z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57AD342277544EEF864032EF1F74485A_12</vt:lpwstr>
  </property>
</Properties>
</file>