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41CAC">
      <w:pPr>
        <w:spacing w:line="240" w:lineRule="auto"/>
        <w:jc w:val="center"/>
        <w:rPr>
          <w:rFonts w:hint="default" w:ascii="Calibri" w:hAnsi="Calibri" w:cs="Calibri"/>
          <w:color w:val="0070C0"/>
          <w:lang w:val="en-US"/>
        </w:rPr>
      </w:pPr>
      <w:r>
        <w:rPr>
          <w:rFonts w:hint="default" w:ascii="Calibri" w:hAnsi="Calibri" w:cs="Calibri"/>
          <w:color w:val="0070C0"/>
          <w:lang w:val="en-US"/>
        </w:rPr>
        <w:drawing>
          <wp:inline distT="0" distB="0" distL="114300" distR="114300">
            <wp:extent cx="4762500" cy="4762500"/>
            <wp:effectExtent l="0" t="0" r="0" b="0"/>
            <wp:docPr id="94" name="Picture 94"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3C7DA9D2">
      <w:pPr>
        <w:spacing w:line="240" w:lineRule="auto"/>
        <w:jc w:val="center"/>
        <w:rPr>
          <w:rFonts w:hint="default" w:ascii="Calibri" w:hAnsi="Calibri" w:cs="Calibri"/>
          <w:color w:val="0070C0"/>
          <w:lang w:val="en-US"/>
        </w:rPr>
      </w:pPr>
    </w:p>
    <w:p w14:paraId="75B1F1B6">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0" w:name="_Toc5460"/>
      <w:r>
        <w:rPr>
          <w:rFonts w:hint="default" w:ascii="Calibri" w:hAnsi="Calibri" w:eastAsia="Arial" w:cs="Calibri"/>
          <w:color w:val="0B5FD1"/>
          <w:sz w:val="56"/>
          <w:szCs w:val="56"/>
          <w:rtl w:val="0"/>
        </w:rPr>
        <w:t>Cyberster Internship Program</w:t>
      </w:r>
      <w:bookmarkEnd w:id="0"/>
    </w:p>
    <w:p w14:paraId="2B2CA88E">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1" w:name="_Toc18102"/>
      <w:r>
        <w:rPr>
          <w:rFonts w:hint="default" w:ascii="Calibri" w:hAnsi="Calibri" w:eastAsia="Arial" w:cs="Calibri"/>
          <w:color w:val="0B5FD1"/>
          <w:sz w:val="56"/>
          <w:szCs w:val="56"/>
          <w:rtl w:val="0"/>
        </w:rPr>
        <w:t>Internship Report</w:t>
      </w:r>
      <w:bookmarkEnd w:id="1"/>
    </w:p>
    <w:p w14:paraId="173EC09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2BBAC9F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58E11E5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5C06D8E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285E9A71">
      <w:pPr>
        <w:jc w:val="center"/>
        <w:rPr>
          <w:rFonts w:hint="default" w:ascii="Arial" w:hAnsi="Arial" w:eastAsia="Arial" w:cs="Arial"/>
          <w:sz w:val="28"/>
          <w:szCs w:val="28"/>
        </w:rPr>
      </w:pPr>
      <w:r>
        <w:rPr>
          <w:rFonts w:hint="default" w:ascii="Calibri" w:hAnsi="Calibri" w:eastAsia="Arial" w:cs="Calibri"/>
          <w:b/>
          <w:bCs/>
          <w:color w:val="1F1F1F"/>
          <w:sz w:val="28"/>
          <w:szCs w:val="28"/>
          <w:rtl w:val="0"/>
        </w:rPr>
        <w:t xml:space="preserve">WEEK </w:t>
      </w:r>
      <w:r>
        <w:rPr>
          <w:rFonts w:hint="default" w:ascii="Calibri" w:hAnsi="Calibri" w:cs="Calibri"/>
          <w:b/>
          <w:bCs/>
          <w:color w:val="1F1F1F"/>
          <w:sz w:val="28"/>
          <w:szCs w:val="28"/>
          <w:rtl w:val="0"/>
          <w:lang w:val="en-US"/>
        </w:rPr>
        <w:t>9</w:t>
      </w:r>
      <w:bookmarkStart w:id="2" w:name="_GoBack"/>
      <w:bookmarkEnd w:id="2"/>
      <w:r>
        <w:rPr>
          <w:rFonts w:hint="default" w:ascii="Calibri" w:hAnsi="Calibri" w:eastAsia="Arial" w:cs="Calibri"/>
          <w:b/>
          <w:bCs/>
          <w:color w:val="1F1F1F"/>
          <w:sz w:val="28"/>
          <w:szCs w:val="28"/>
          <w:rtl w:val="0"/>
        </w:rPr>
        <w:t>:</w:t>
      </w:r>
      <w:r>
        <w:rPr>
          <w:rFonts w:hint="default" w:eastAsia="Arial" w:cs="Calibri"/>
          <w:b/>
          <w:bCs/>
          <w:color w:val="1F1F1F"/>
          <w:sz w:val="28"/>
          <w:szCs w:val="28"/>
          <w:rtl w:val="0"/>
          <w:lang w:val="en-US"/>
        </w:rPr>
        <w:t xml:space="preserve"> </w:t>
      </w:r>
      <w:r>
        <w:rPr>
          <w:rFonts w:hint="default" w:ascii="Arial" w:hAnsi="Arial" w:eastAsia="Arial" w:cs="Arial"/>
          <w:sz w:val="28"/>
          <w:szCs w:val="28"/>
          <w:rtl w:val="0"/>
        </w:rPr>
        <w:t>Advanced Browser Forensics, Shell/LNK Analysis, and Artifact Integration</w:t>
      </w:r>
    </w:p>
    <w:p w14:paraId="1C8A817F">
      <w:pPr>
        <w:rPr>
          <w:rFonts w:hint="default" w:ascii="Calibri" w:hAnsi="Calibri" w:eastAsia="Google Sans" w:cs="Calibri"/>
          <w:color w:val="1F1F1F"/>
          <w:rtl w:val="0"/>
        </w:rPr>
      </w:pP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1. Executive Summary</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This report details the forensic triage and timeline reconstruction of a live Windows endpoint, focusing on user web activity and local file interactions. By extracting and correlating browser databases (Chrome/Edge) with Windows Shell artifacts (LNK files and Jump Lists), we reconstructed a unified chronological timeline of user actions.</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Conclusion:</w:t>
      </w:r>
      <w:r>
        <w:rPr>
          <w:rFonts w:hint="default" w:ascii="Calibri" w:hAnsi="Calibri" w:eastAsia="Google Sans" w:cs="Calibri"/>
          <w:color w:val="1F1F1F"/>
          <w:rtl w:val="0"/>
        </w:rPr>
        <w:t xml:space="preserve"> The analyzed artifacts indicate structured, legitimate forensic and educational activity. The user downloaded forensic utilities, executed them locally, and accessed local development environments. No malicious extensions, unauthorized downloads, or suspicious file executions were detected.</w:t>
      </w:r>
    </w:p>
    <w:p w14:paraId="0000000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2. Methodology &amp; Evidence Integrity</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Data acquisition prioritized evidence preservation. Browser processes were forcefully terminated prior to extraction to release active SQLite database locks and prevent data corruption.</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Acquisition:</w:t>
      </w:r>
      <w:r>
        <w:rPr>
          <w:rFonts w:hint="default" w:ascii="Calibri" w:hAnsi="Calibri" w:eastAsia="Google Sans" w:cs="Calibri"/>
          <w:color w:val="1F1F1F"/>
          <w:rtl w:val="0"/>
        </w:rPr>
        <w:t xml:space="preserve"> User profiles for Chrome and Edge were copied to a segregated C:\Forensics\BrowserData directory.</w:t>
      </w:r>
    </w:p>
    <w:p w14:paraId="68E255F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eastAsia="Google Sans" w:cs="Calibri"/>
          <w:b/>
          <w:bCs/>
          <w:color w:val="1F1F1F"/>
          <w:rtl w:val="0"/>
        </w:rPr>
      </w:pPr>
    </w:p>
    <w:p w14:paraId="00AE54A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cs="Calibri"/>
          <w:b w:val="0"/>
          <w:bCs w:val="0"/>
          <w:lang w:val="en-US"/>
        </w:rPr>
      </w:pPr>
      <w:r>
        <w:rPr>
          <w:rFonts w:hint="default" w:ascii="Calibri" w:hAnsi="Calibri" w:eastAsia="Google Sans" w:cs="Calibri"/>
          <w:b/>
          <w:bCs/>
          <w:color w:val="1F1F1F"/>
          <w:rtl w:val="0"/>
        </w:rPr>
        <w:t>C</w:t>
      </w:r>
      <w:r>
        <w:rPr>
          <w:rFonts w:hint="default" w:ascii="Calibri" w:hAnsi="Calibri" w:eastAsia="Google Sans" w:cs="Calibri"/>
          <w:b/>
          <w:bCs/>
          <w:color w:val="1F1F1F"/>
          <w:rtl w:val="0"/>
          <w:lang w:val="en-US"/>
        </w:rPr>
        <w:t>hrome Profile:</w:t>
      </w:r>
    </w:p>
    <w:p w14:paraId="4179F41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cs="Calibri"/>
          <w:lang w:val="en-US"/>
        </w:rPr>
      </w:pPr>
      <w:r>
        <w:rPr>
          <w:rFonts w:hint="default" w:ascii="Calibri" w:hAnsi="Calibri" w:cs="Calibri"/>
          <w:lang w:val="en-US"/>
        </w:rPr>
        <w:drawing>
          <wp:inline distT="0" distB="0" distL="114300" distR="114300">
            <wp:extent cx="5941695" cy="1868170"/>
            <wp:effectExtent l="0" t="0" r="0" b="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5"/>
                    <a:srcRect b="48431"/>
                    <a:stretch>
                      <a:fillRect/>
                    </a:stretch>
                  </pic:blipFill>
                  <pic:spPr>
                    <a:xfrm>
                      <a:off x="0" y="0"/>
                      <a:ext cx="5941695" cy="1868170"/>
                    </a:xfrm>
                    <a:prstGeom prst="rect">
                      <a:avLst/>
                    </a:prstGeom>
                  </pic:spPr>
                </pic:pic>
              </a:graphicData>
            </a:graphic>
          </wp:inline>
        </w:drawing>
      </w:r>
    </w:p>
    <w:p w14:paraId="25A198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cs="Calibri"/>
          <w:lang w:val="en-US"/>
        </w:rPr>
      </w:pPr>
    </w:p>
    <w:p w14:paraId="736BFD6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cs="Calibri"/>
          <w:lang w:val="en-US"/>
        </w:rPr>
      </w:pPr>
      <w:r>
        <w:rPr>
          <w:rFonts w:hint="default" w:ascii="Calibri" w:hAnsi="Calibri" w:eastAsia="Google Sans" w:cs="Calibri"/>
          <w:b/>
          <w:bCs/>
          <w:color w:val="1F1F1F"/>
          <w:rtl w:val="0"/>
          <w:lang w:val="en-US"/>
        </w:rPr>
        <w:t>Edge Profile:</w:t>
      </w:r>
    </w:p>
    <w:p w14:paraId="2FDAAD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cs="Calibri"/>
          <w:lang w:val="en-US"/>
        </w:rPr>
      </w:pPr>
      <w:r>
        <w:rPr>
          <w:rFonts w:hint="default" w:ascii="Calibri" w:hAnsi="Calibri" w:cs="Calibri"/>
          <w:lang w:val="en-US"/>
        </w:rPr>
        <w:drawing>
          <wp:inline distT="0" distB="0" distL="114300" distR="114300">
            <wp:extent cx="5918200" cy="1905000"/>
            <wp:effectExtent l="0" t="0" r="0" b="0"/>
            <wp:docPr id="4" name="Picture 4"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1"/>
                    <pic:cNvPicPr>
                      <a:picLocks noChangeAspect="1"/>
                    </pic:cNvPicPr>
                  </pic:nvPicPr>
                  <pic:blipFill>
                    <a:blip r:embed="rId6"/>
                    <a:srcRect l="406"/>
                    <a:stretch>
                      <a:fillRect/>
                    </a:stretch>
                  </pic:blipFill>
                  <pic:spPr>
                    <a:xfrm>
                      <a:off x="0" y="0"/>
                      <a:ext cx="5918200" cy="1905000"/>
                    </a:xfrm>
                    <a:prstGeom prst="rect">
                      <a:avLst/>
                    </a:prstGeom>
                  </pic:spPr>
                </pic:pic>
              </a:graphicData>
            </a:graphic>
          </wp:inline>
        </w:drawing>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Integrity Verification:</w:t>
      </w:r>
      <w:r>
        <w:rPr>
          <w:rFonts w:hint="default" w:ascii="Calibri" w:hAnsi="Calibri" w:eastAsia="Google Sans" w:cs="Calibri"/>
          <w:color w:val="1F1F1F"/>
          <w:rtl w:val="0"/>
        </w:rPr>
        <w:t xml:space="preserve"> SHA-256 hashes were immediately generated for critical SQLite databases (History, Cookies, Web Data) to establish a defensible chain of custody.</w:t>
      </w:r>
    </w:p>
    <w:p w14:paraId="77FB2F6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Calibri" w:hAnsi="Calibri" w:cs="Calibri"/>
          <w:lang w:val="en-US"/>
        </w:rPr>
      </w:pPr>
      <w:r>
        <w:rPr>
          <w:rFonts w:hint="default" w:ascii="Calibri" w:hAnsi="Calibri" w:cs="Calibri"/>
          <w:lang w:val="en-US"/>
        </w:rPr>
        <w:drawing>
          <wp:inline distT="0" distB="0" distL="114300" distR="114300">
            <wp:extent cx="5937250" cy="495300"/>
            <wp:effectExtent l="0" t="0" r="6350"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7"/>
                    <a:stretch>
                      <a:fillRect/>
                    </a:stretch>
                  </pic:blipFill>
                  <pic:spPr>
                    <a:xfrm>
                      <a:off x="0" y="0"/>
                      <a:ext cx="5937250" cy="495300"/>
                    </a:xfrm>
                    <a:prstGeom prst="rect">
                      <a:avLst/>
                    </a:prstGeom>
                  </pic:spPr>
                </pic:pic>
              </a:graphicData>
            </a:graphic>
          </wp:inline>
        </w:drawing>
      </w:r>
    </w:p>
    <w:p w14:paraId="2D8D5A8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Calibri" w:hAnsi="Calibri" w:cs="Calibri"/>
          <w:lang w:val="en-US"/>
        </w:rPr>
      </w:pPr>
      <w:r>
        <w:rPr>
          <w:rFonts w:hint="default" w:ascii="Calibri" w:hAnsi="Calibri" w:cs="Calibri"/>
          <w:lang w:val="en-US"/>
        </w:rPr>
        <w:drawing>
          <wp:inline distT="0" distB="0" distL="114300" distR="114300">
            <wp:extent cx="5939155" cy="576580"/>
            <wp:effectExtent l="0" t="0" r="4445" b="7620"/>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8"/>
                    <a:stretch>
                      <a:fillRect/>
                    </a:stretch>
                  </pic:blipFill>
                  <pic:spPr>
                    <a:xfrm>
                      <a:off x="0" y="0"/>
                      <a:ext cx="5939155" cy="576580"/>
                    </a:xfrm>
                    <a:prstGeom prst="rect">
                      <a:avLst/>
                    </a:prstGeom>
                  </pic:spPr>
                </pic:pic>
              </a:graphicData>
            </a:graphic>
          </wp:inline>
        </w:drawing>
      </w:r>
    </w:p>
    <w:p w14:paraId="0000000E">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3. Part A: Advanced Browser Forensics</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Browser artifacts were parsed using DB Browser for SQLite and NirSoft utilities to reconstruct web activity, downloads, and active sessions.</w:t>
      </w:r>
    </w:p>
    <w:p w14:paraId="0000001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3.1. Web History &amp; Download Activity</w:t>
      </w:r>
    </w:p>
    <w:p w14:paraId="0000001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Browsing Patterns:</w:t>
      </w:r>
      <w:r>
        <w:rPr>
          <w:rFonts w:hint="default" w:ascii="Calibri" w:hAnsi="Calibri" w:eastAsia="Google Sans" w:cs="Calibri"/>
          <w:color w:val="1F1F1F"/>
          <w:rtl w:val="0"/>
        </w:rPr>
        <w:t xml:space="preserve"> SQLite urls and visits tables confirmed traffic primarily directed toward educational resources, GitHub, and a local application (localhost - local phishing detection system).</w:t>
      </w:r>
    </w:p>
    <w:p w14:paraId="0000001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Downloads:</w:t>
      </w:r>
      <w:r>
        <w:rPr>
          <w:rFonts w:hint="default" w:ascii="Calibri" w:hAnsi="Calibri" w:eastAsia="Google Sans" w:cs="Calibri"/>
          <w:color w:val="1F1F1F"/>
          <w:rtl w:val="0"/>
        </w:rPr>
        <w:t xml:space="preserve"> The downloads table confirmed the deliberate acquisition of forensic and database tools. Identified files include:</w:t>
      </w:r>
    </w:p>
    <w:p w14:paraId="00000013">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Calibri" w:hAnsi="Calibri" w:cs="Calibri"/>
        </w:rPr>
      </w:pPr>
      <w:r>
        <w:rPr>
          <w:rFonts w:hint="default" w:ascii="Calibri" w:hAnsi="Calibri" w:eastAsia="Google Sans" w:cs="Calibri"/>
          <w:color w:val="1F1F1F"/>
          <w:rtl w:val="0"/>
        </w:rPr>
        <w:t>LECmd.zip</w:t>
      </w:r>
    </w:p>
    <w:p w14:paraId="00000014">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Calibri" w:hAnsi="Calibri" w:cs="Calibri"/>
        </w:rPr>
      </w:pPr>
      <w:r>
        <w:rPr>
          <w:rFonts w:hint="default" w:ascii="Calibri" w:hAnsi="Calibri" w:eastAsia="Google Sans" w:cs="Calibri"/>
          <w:color w:val="1F1F1F"/>
          <w:rtl w:val="0"/>
        </w:rPr>
        <w:t>JLECmd.zip</w:t>
      </w:r>
    </w:p>
    <w:p w14:paraId="00000015">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rPr>
          <w:rFonts w:hint="default" w:ascii="Calibri" w:hAnsi="Calibri" w:cs="Calibri"/>
        </w:rPr>
      </w:pPr>
      <w:r>
        <w:rPr>
          <w:rFonts w:hint="default" w:ascii="Calibri" w:hAnsi="Calibri" w:eastAsia="Google Sans" w:cs="Calibri"/>
          <w:color w:val="1F1F1F"/>
          <w:rtl w:val="0"/>
        </w:rPr>
        <w:t>DB.Browser.for.SQLite-3.13.1-win32.zip</w:t>
      </w:r>
    </w:p>
    <w:p w14:paraId="00000016">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color w:val="0070C0"/>
        </w:rPr>
      </w:pPr>
      <w:r>
        <w:rPr>
          <w:rFonts w:hint="default" w:ascii="Calibri" w:hAnsi="Calibri" w:eastAsia="Google Sans" w:cs="Calibri"/>
          <w:color w:val="0070C0"/>
          <w:rtl w:val="0"/>
        </w:rPr>
        <w:t>3.2. Cookies, Cache, &amp; Extensions</w:t>
      </w:r>
    </w:p>
    <w:p w14:paraId="0000001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Session Data:</w:t>
      </w:r>
      <w:r>
        <w:rPr>
          <w:rFonts w:hint="default" w:ascii="Calibri" w:hAnsi="Calibri" w:eastAsia="Google Sans" w:cs="Calibri"/>
          <w:color w:val="1F1F1F"/>
          <w:rtl w:val="0"/>
        </w:rPr>
        <w:t xml:space="preserve"> Cookie analysis confirmed active, authenticated sessions corresponding to the observed web history.</w:t>
      </w:r>
    </w:p>
    <w:p w14:paraId="0000001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Cache:</w:t>
      </w:r>
      <w:r>
        <w:rPr>
          <w:rFonts w:hint="default" w:ascii="Calibri" w:hAnsi="Calibri" w:eastAsia="Google Sans" w:cs="Calibri"/>
          <w:color w:val="1F1F1F"/>
          <w:rtl w:val="0"/>
        </w:rPr>
        <w:t xml:space="preserve"> Extracted cache data revealed standard CDN assets and media associated with routine browsing.</w:t>
      </w:r>
    </w:p>
    <w:p w14:paraId="00000019">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Extensions:</w:t>
      </w:r>
      <w:r>
        <w:rPr>
          <w:rFonts w:hint="default" w:ascii="Calibri" w:hAnsi="Calibri" w:eastAsia="Google Sans" w:cs="Calibri"/>
          <w:color w:val="1F1F1F"/>
          <w:rtl w:val="0"/>
        </w:rPr>
        <w:t xml:space="preserve"> An audit of installed browser extensions revealed only standard, benign add-ons. No unauthorized or malicious extensions were present.</w:t>
      </w:r>
    </w:p>
    <w:p w14:paraId="61CDD51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Calibri" w:hAnsi="Calibri" w:cs="Calibri"/>
          <w:lang w:val="en-US"/>
        </w:rPr>
      </w:pPr>
      <w:r>
        <w:rPr>
          <w:rFonts w:hint="default" w:ascii="Calibri" w:hAnsi="Calibri" w:cs="Calibri"/>
          <w:lang w:val="en-US"/>
        </w:rPr>
        <w:drawing>
          <wp:inline distT="0" distB="0" distL="114300" distR="114300">
            <wp:extent cx="5937250" cy="2112645"/>
            <wp:effectExtent l="0" t="0" r="0" b="0"/>
            <wp:docPr id="5" name="Picture 5" descr="C:/Users/razaj/OneDrive/Desktop/Picture1.png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razaj/OneDrive/Desktop/Picture1.pngPicture1"/>
                    <pic:cNvPicPr>
                      <a:picLocks noChangeAspect="1"/>
                    </pic:cNvPicPr>
                  </pic:nvPicPr>
                  <pic:blipFill>
                    <a:blip r:embed="rId9"/>
                    <a:srcRect t="-803" b="24032"/>
                    <a:stretch>
                      <a:fillRect/>
                    </a:stretch>
                  </pic:blipFill>
                  <pic:spPr>
                    <a:xfrm>
                      <a:off x="0" y="0"/>
                      <a:ext cx="5937250" cy="2112645"/>
                    </a:xfrm>
                    <a:prstGeom prst="rect">
                      <a:avLst/>
                    </a:prstGeom>
                  </pic:spPr>
                </pic:pic>
              </a:graphicData>
            </a:graphic>
          </wp:inline>
        </w:drawing>
      </w:r>
    </w:p>
    <w:p w14:paraId="0000001B">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4. Part B: Shell &amp; LNK File Forensics</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 xml:space="preserve">To track what happened </w:t>
      </w:r>
      <w:r>
        <w:rPr>
          <w:rFonts w:hint="default" w:ascii="Calibri" w:hAnsi="Calibri" w:eastAsia="Google Sans" w:cs="Calibri"/>
          <w:i/>
          <w:iCs/>
          <w:color w:val="1F1F1F"/>
          <w:rtl w:val="0"/>
        </w:rPr>
        <w:t>after</w:t>
      </w:r>
      <w:r>
        <w:rPr>
          <w:rFonts w:hint="default" w:ascii="Calibri" w:hAnsi="Calibri" w:eastAsia="Google Sans" w:cs="Calibri"/>
          <w:color w:val="1F1F1F"/>
          <w:rtl w:val="0"/>
        </w:rPr>
        <w:t xml:space="preserve"> files were downloaded, we analyzed Windows Shell artifacts, which record local file and application interactions.</w:t>
      </w:r>
    </w:p>
    <w:p w14:paraId="0000001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4.1. LNK (Shortcut) File Analysis</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Using Zimmerman's LECmd, LNK files located in the Windows\Recent directory were parsed.</w:t>
      </w:r>
    </w:p>
    <w:p w14:paraId="0000001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default" w:ascii="Calibri" w:hAnsi="Calibri" w:cs="Calibri"/>
        </w:rPr>
      </w:pPr>
      <w:r>
        <w:rPr>
          <w:rFonts w:hint="default" w:ascii="Calibri" w:hAnsi="Calibri" w:eastAsia="Google Sans" w:cs="Calibri"/>
          <w:b/>
          <w:bCs/>
          <w:color w:val="1F1F1F"/>
          <w:rtl w:val="0"/>
        </w:rPr>
        <w:t>Findings:</w:t>
      </w:r>
      <w:r>
        <w:rPr>
          <w:rFonts w:hint="default" w:ascii="Calibri" w:hAnsi="Calibri" w:eastAsia="Google Sans" w:cs="Calibri"/>
          <w:color w:val="1F1F1F"/>
          <w:rtl w:val="0"/>
        </w:rPr>
        <w:t xml:space="preserve"> The parsed output verified the execution of the tools downloaded in Part A. Specifically, LNK metadata confirmed the extraction and execution of LECmd.exe and DB Browser. Additional LNKs pointed to local documents, including CodeAlpha.pdf.</w:t>
      </w:r>
    </w:p>
    <w:p w14:paraId="00000020">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Calibri" w:hAnsi="Calibri" w:eastAsia="Google Sans" w:cs="Calibri"/>
          <w:color w:val="0070C0"/>
        </w:rPr>
      </w:pPr>
      <w:r>
        <w:rPr>
          <w:rFonts w:hint="default" w:ascii="Calibri" w:hAnsi="Calibri" w:eastAsia="Google Sans" w:cs="Calibri"/>
          <w:color w:val="0070C0"/>
          <w:rtl w:val="0"/>
        </w:rPr>
        <w:t>4.2. Jump List Analysis</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Using JLECmd, AutomaticDestinations and CustomDestinations files were parsed to review taskbar and pinned-item interactions.</w:t>
      </w:r>
    </w:p>
    <w:p w14:paraId="00000022">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default" w:ascii="Calibri" w:hAnsi="Calibri" w:cs="Calibri"/>
        </w:rPr>
      </w:pPr>
      <w:r>
        <w:rPr>
          <w:rFonts w:hint="default" w:ascii="Calibri" w:hAnsi="Calibri" w:eastAsia="Google Sans" w:cs="Calibri"/>
          <w:b/>
          <w:bCs/>
          <w:color w:val="1F1F1F"/>
          <w:rtl w:val="0"/>
        </w:rPr>
        <w:t>Findings:</w:t>
      </w:r>
      <w:r>
        <w:rPr>
          <w:rFonts w:hint="default" w:ascii="Calibri" w:hAnsi="Calibri" w:eastAsia="Google Sans" w:cs="Calibri"/>
          <w:color w:val="1F1F1F"/>
          <w:rtl w:val="0"/>
        </w:rPr>
        <w:t xml:space="preserve"> Jump List data corroborated the LNK findings, showing sequential access to the downloaded ZIP archives and the local localhost development environment.</w:t>
      </w:r>
    </w:p>
    <w:p w14:paraId="66438B1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cs="Calibri"/>
          <w:lang w:val="en-US"/>
        </w:rPr>
      </w:pPr>
      <w:r>
        <w:rPr>
          <w:rFonts w:hint="default" w:ascii="Calibri" w:hAnsi="Calibri" w:cs="Calibri"/>
          <w:lang w:val="en-US"/>
        </w:rPr>
        <w:drawing>
          <wp:inline distT="0" distB="0" distL="114300" distR="114300">
            <wp:extent cx="5943600" cy="3556635"/>
            <wp:effectExtent l="0" t="0" r="0" b="0"/>
            <wp:docPr id="7"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1"/>
                    <pic:cNvPicPr>
                      <a:picLocks noChangeAspect="1"/>
                    </pic:cNvPicPr>
                  </pic:nvPicPr>
                  <pic:blipFill>
                    <a:blip r:embed="rId10"/>
                    <a:srcRect t="8210"/>
                    <a:stretch>
                      <a:fillRect/>
                    </a:stretch>
                  </pic:blipFill>
                  <pic:spPr>
                    <a:xfrm>
                      <a:off x="0" y="0"/>
                      <a:ext cx="5943600" cy="3556635"/>
                    </a:xfrm>
                    <a:prstGeom prst="rect">
                      <a:avLst/>
                    </a:prstGeom>
                  </pic:spPr>
                </pic:pic>
              </a:graphicData>
            </a:graphic>
          </wp:inline>
        </w:drawing>
      </w:r>
    </w:p>
    <w:p w14:paraId="3F9CC27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cs="Calibri"/>
          <w:lang w:val="en-US"/>
        </w:rPr>
      </w:pPr>
    </w:p>
    <w:p w14:paraId="45A2CA6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cs="Calibri"/>
          <w:lang w:val="en-US"/>
        </w:rPr>
      </w:pPr>
    </w:p>
    <w:p w14:paraId="12EBE1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cs="Calibri"/>
          <w:lang w:val="en-US"/>
        </w:rPr>
      </w:pPr>
    </w:p>
    <w:p w14:paraId="00000024">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5. Part C: Timeline Generation &amp; Artifact Integration</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To provide a definitive sequence of events, browser timestamps (Webkit format) and Windows Shell timestamps (FILETIME) were normalized to UTC (PKT - 5 hours) and merged into a unified timeline.</w:t>
      </w:r>
    </w:p>
    <w:p w14:paraId="0000002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5.1. Cross-Artifact Correlation</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The integrated timeline successfully links external web activity to local system execution:</w:t>
      </w:r>
    </w:p>
    <w:p w14:paraId="0000002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Web Access:</w:t>
      </w:r>
      <w:r>
        <w:rPr>
          <w:rFonts w:hint="default" w:ascii="Calibri" w:hAnsi="Calibri" w:eastAsia="Google Sans" w:cs="Calibri"/>
          <w:color w:val="1F1F1F"/>
          <w:rtl w:val="0"/>
        </w:rPr>
        <w:t xml:space="preserve"> User navigates to a repository (Browser History).</w:t>
      </w:r>
    </w:p>
    <w:p w14:paraId="0000002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File Acquisition:</w:t>
      </w:r>
      <w:r>
        <w:rPr>
          <w:rFonts w:hint="default" w:ascii="Calibri" w:hAnsi="Calibri" w:eastAsia="Google Sans" w:cs="Calibri"/>
          <w:color w:val="1F1F1F"/>
          <w:rtl w:val="0"/>
        </w:rPr>
        <w:t xml:space="preserve"> User downloads LECmd.zip and DB Browser (Browser Downloads).</w:t>
      </w:r>
    </w:p>
    <w:p w14:paraId="0000002A">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Local Interaction:</w:t>
      </w:r>
      <w:r>
        <w:rPr>
          <w:rFonts w:hint="default" w:ascii="Calibri" w:hAnsi="Calibri" w:eastAsia="Google Sans" w:cs="Calibri"/>
          <w:color w:val="1F1F1F"/>
          <w:rtl w:val="0"/>
        </w:rPr>
        <w:t xml:space="preserve"> User extracts the ZIP archives (LNK / Shell activity).</w:t>
      </w:r>
    </w:p>
    <w:p w14:paraId="0000002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Calibri" w:hAnsi="Calibri" w:cs="Calibri"/>
        </w:rPr>
      </w:pPr>
      <w:r>
        <w:rPr>
          <w:rFonts w:hint="default" w:ascii="Calibri" w:hAnsi="Calibri" w:eastAsia="Google Sans" w:cs="Calibri"/>
          <w:b/>
          <w:bCs/>
          <w:color w:val="1F1F1F"/>
          <w:rtl w:val="0"/>
        </w:rPr>
        <w:t>Execution:</w:t>
      </w:r>
      <w:r>
        <w:rPr>
          <w:rFonts w:hint="default" w:ascii="Calibri" w:hAnsi="Calibri" w:eastAsia="Google Sans" w:cs="Calibri"/>
          <w:color w:val="1F1F1F"/>
          <w:rtl w:val="0"/>
        </w:rPr>
        <w:t xml:space="preserve"> User launches the forensic tools and opens local PDF documents (LNK / Jump Lists).</w:t>
      </w:r>
    </w:p>
    <w:p w14:paraId="139CD9E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30265" cy="774700"/>
            <wp:effectExtent l="0" t="0" r="635" b="0"/>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1"/>
                    <pic:cNvPicPr>
                      <a:picLocks noChangeAspect="1"/>
                    </pic:cNvPicPr>
                  </pic:nvPicPr>
                  <pic:blipFill>
                    <a:blip r:embed="rId11"/>
                    <a:stretch>
                      <a:fillRect/>
                    </a:stretch>
                  </pic:blipFill>
                  <pic:spPr>
                    <a:xfrm>
                      <a:off x="0" y="0"/>
                      <a:ext cx="5930265" cy="774700"/>
                    </a:xfrm>
                    <a:prstGeom prst="rect">
                      <a:avLst/>
                    </a:prstGeom>
                  </pic:spPr>
                </pic:pic>
              </a:graphicData>
            </a:graphic>
          </wp:inline>
        </w:drawing>
      </w:r>
    </w:p>
    <w:p w14:paraId="0000002D">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6. Conclusion</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The integration of Browser and Shell artifacts successfully validated the host's activity timeline. Correlating the origin of a file (Browser) with its local execution (LNK/Jump Lists) confirmed that the user's workflow was exclusively related to educational and forensic analysis tasks. The investigative framework utilized in Week 9 is highly effective for tracing the lifecycle of a file from web-download to local-execution in an incident response scenario.</w:t>
      </w:r>
    </w:p>
    <w:sectPr>
      <w:pgSz w:w="12240" w:h="15840"/>
      <w:pgMar w:top="1440" w:right="1440" w:bottom="1440" w:left="1440" w:header="0" w:footer="720" w:gutter="0"/>
      <w:pgBorders>
        <w:top w:val="single" w:color="0070C0" w:sz="12" w:space="1"/>
        <w:left w:val="single" w:color="0070C0" w:sz="12" w:space="4"/>
        <w:bottom w:val="single" w:color="0070C0" w:sz="12" w:space="1"/>
        <w:right w:val="single" w:color="0070C0"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5F88F13-F33C-4034-B049-4A2E9A200F3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E5A967E-18F2-4C08-8691-D2A16649F083}"/>
  </w:font>
  <w:font w:name="Wingdings">
    <w:panose1 w:val="05000000000000000000"/>
    <w:charset w:val="02"/>
    <w:family w:val="auto"/>
    <w:pitch w:val="default"/>
    <w:sig w:usb0="00000000" w:usb1="00000000" w:usb2="00000000" w:usb3="00000000" w:csb0="80000000" w:csb1="00000000"/>
    <w:embedRegular r:id="rId3" w:fontKey="{6C40EFB4-64D2-4723-B7EB-F25E45989515}"/>
  </w:font>
  <w:font w:name="Calibri">
    <w:panose1 w:val="020F0502020204030204"/>
    <w:charset w:val="00"/>
    <w:family w:val="swiss"/>
    <w:pitch w:val="default"/>
    <w:sig w:usb0="E4002EFF" w:usb1="C200247B" w:usb2="00000009" w:usb3="00000000" w:csb0="200001FF" w:csb1="00000000"/>
    <w:embedRegular r:id="rId4" w:fontKey="{74600DE4-95ED-4515-89EA-EEA943B89B2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906F5FCA-0AB9-47DC-AEBC-89E5B9149F39}"/>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FEBBE886-0E57-4DA6-B6B2-A664A846409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25B654F3"/>
    <w:multiLevelType w:val="multilevel"/>
    <w:tmpl w:val="25B654F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ompat>
    <w:compatSetting w:name="compatibilityMode" w:uri="http://schemas.microsoft.com/office/word" w:val="15"/>
  </w:compat>
  <w:rsids>
    <w:rsidRoot w:val="00000000"/>
    <w:rsid w:val="31893C67"/>
    <w:rsid w:val="46235FD4"/>
    <w:rsid w:val="46D06208"/>
    <w:rsid w:val="4E590971"/>
    <w:rsid w:val="54366037"/>
    <w:rsid w:val="60621EE0"/>
    <w:rsid w:val="61AD11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595</Words>
  <Characters>3831</Characters>
  <TotalTime>6</TotalTime>
  <ScaleCrop>false</ScaleCrop>
  <LinksUpToDate>false</LinksUpToDate>
  <CharactersWithSpaces>4380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2026-05-07T09:39:00Z</dcterms:created>
  <dc:creator>razaj</dc:creator>
  <cp:lastModifiedBy>Raza Javaid</cp:lastModifiedBy>
  <dcterms:modified xsi:type="dcterms:W3CDTF">2026-05-11T17:10:12Z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1033-12.1.0.26372</vt:lpwstr>
  </property>
  <property fmtid="{D5CDD505-2E9C-101B-9397-08002B2CF9AE}" pid="4" name="ICV">
    <vt:lpwstr>BE6B98F1B3D6494CAD1D60320E06A1C2_12</vt:lpwstr>
  </property>
</Properties>
</file>