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341CAC">
      <w:pPr>
        <w:spacing w:line="240" w:lineRule="auto"/>
        <w:jc w:val="center"/>
        <w:rPr>
          <w:rFonts w:hint="default" w:ascii="Calibri" w:hAnsi="Calibri" w:cs="Calibri"/>
          <w:color w:val="0070C0"/>
          <w:lang w:val="en-US"/>
        </w:rPr>
      </w:pPr>
      <w:r>
        <w:rPr>
          <w:rFonts w:hint="default" w:ascii="Calibri" w:hAnsi="Calibri" w:cs="Calibri"/>
          <w:color w:val="0070C0"/>
          <w:lang w:val="en-US"/>
        </w:rPr>
        <w:drawing>
          <wp:inline distT="0" distB="0" distL="114300" distR="114300">
            <wp:extent cx="4762500" cy="4762500"/>
            <wp:effectExtent l="0" t="0" r="0" b="0"/>
            <wp:docPr id="94" name="Picture 94" descr="WhatsApp Image 2026-03-04 at 11.16.3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WhatsApp Image 2026-03-04 at 11.16.35 PM"/>
                    <pic:cNvPicPr>
                      <a:picLocks noChangeAspect="1"/>
                    </pic:cNvPicPr>
                  </pic:nvPicPr>
                  <pic:blipFill>
                    <a:blip r:embed="rId4"/>
                    <a:stretch>
                      <a:fillRect/>
                    </a:stretch>
                  </pic:blipFill>
                  <pic:spPr>
                    <a:xfrm>
                      <a:off x="0" y="0"/>
                      <a:ext cx="4762500" cy="4762500"/>
                    </a:xfrm>
                    <a:prstGeom prst="rect">
                      <a:avLst/>
                    </a:prstGeom>
                  </pic:spPr>
                </pic:pic>
              </a:graphicData>
            </a:graphic>
          </wp:inline>
        </w:drawing>
      </w:r>
    </w:p>
    <w:p w14:paraId="3C7DA9D2">
      <w:pPr>
        <w:spacing w:line="240" w:lineRule="auto"/>
        <w:jc w:val="center"/>
        <w:rPr>
          <w:rFonts w:hint="default" w:ascii="Calibri" w:hAnsi="Calibri" w:cs="Calibri"/>
          <w:color w:val="0070C0"/>
          <w:lang w:val="en-US"/>
        </w:rPr>
      </w:pPr>
    </w:p>
    <w:p w14:paraId="75B1F1B6">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jc w:val="center"/>
        <w:rPr>
          <w:rFonts w:hint="default" w:ascii="Calibri" w:hAnsi="Calibri" w:eastAsia="Arial" w:cs="Calibri"/>
          <w:color w:val="0B5FD1"/>
          <w:sz w:val="56"/>
          <w:szCs w:val="56"/>
        </w:rPr>
      </w:pPr>
      <w:bookmarkStart w:id="0" w:name="_Toc5460"/>
      <w:r>
        <w:rPr>
          <w:rFonts w:hint="default" w:ascii="Calibri" w:hAnsi="Calibri" w:eastAsia="Arial" w:cs="Calibri"/>
          <w:color w:val="0B5FD1"/>
          <w:sz w:val="56"/>
          <w:szCs w:val="56"/>
          <w:rtl w:val="0"/>
        </w:rPr>
        <w:t>Cyberster Internship Program</w:t>
      </w:r>
      <w:bookmarkEnd w:id="0"/>
    </w:p>
    <w:p w14:paraId="2B2CA88E">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jc w:val="center"/>
        <w:rPr>
          <w:rFonts w:hint="default" w:ascii="Calibri" w:hAnsi="Calibri" w:eastAsia="Arial" w:cs="Calibri"/>
          <w:color w:val="0B5FD1"/>
          <w:sz w:val="56"/>
          <w:szCs w:val="56"/>
        </w:rPr>
      </w:pPr>
      <w:bookmarkStart w:id="1" w:name="_Toc18102"/>
      <w:r>
        <w:rPr>
          <w:rFonts w:hint="default" w:ascii="Calibri" w:hAnsi="Calibri" w:eastAsia="Arial" w:cs="Calibri"/>
          <w:color w:val="0B5FD1"/>
          <w:sz w:val="56"/>
          <w:szCs w:val="56"/>
          <w:rtl w:val="0"/>
        </w:rPr>
        <w:t>Internship Report</w:t>
      </w:r>
      <w:bookmarkEnd w:id="1"/>
    </w:p>
    <w:p w14:paraId="173EC092">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center"/>
        <w:rPr>
          <w:rFonts w:hint="default" w:ascii="Calibri" w:hAnsi="Calibri" w:eastAsia="Arial" w:cs="Calibri"/>
          <w:color w:val="1F1F1F"/>
          <w:sz w:val="28"/>
          <w:szCs w:val="28"/>
        </w:rPr>
      </w:pPr>
      <w:r>
        <w:rPr>
          <w:rFonts w:hint="default" w:ascii="Calibri" w:hAnsi="Calibri" w:eastAsia="Arial" w:cs="Calibri"/>
          <w:b/>
          <w:bCs/>
          <w:color w:val="1F1F1F"/>
          <w:sz w:val="28"/>
          <w:szCs w:val="28"/>
          <w:rtl w:val="0"/>
        </w:rPr>
        <w:t>TRACK:</w:t>
      </w:r>
      <w:r>
        <w:rPr>
          <w:rFonts w:hint="default" w:ascii="Calibri" w:hAnsi="Calibri" w:eastAsia="Arial" w:cs="Calibri"/>
          <w:color w:val="1F1F1F"/>
          <w:sz w:val="28"/>
          <w:szCs w:val="28"/>
          <w:rtl w:val="0"/>
        </w:rPr>
        <w:t xml:space="preserve"> BLUE TEAM</w:t>
      </w:r>
    </w:p>
    <w:p w14:paraId="2BBAC9F9">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center"/>
        <w:rPr>
          <w:rFonts w:hint="default" w:ascii="Calibri" w:hAnsi="Calibri" w:eastAsia="Arial" w:cs="Calibri"/>
          <w:color w:val="1F1F1F"/>
          <w:sz w:val="28"/>
          <w:szCs w:val="28"/>
          <w:rtl w:val="0"/>
        </w:rPr>
      </w:pPr>
      <w:r>
        <w:rPr>
          <w:rFonts w:hint="default" w:ascii="Calibri" w:hAnsi="Calibri" w:eastAsia="Arial" w:cs="Calibri"/>
          <w:b/>
          <w:bCs/>
          <w:color w:val="1F1F1F"/>
          <w:sz w:val="28"/>
          <w:szCs w:val="28"/>
          <w:rtl w:val="0"/>
        </w:rPr>
        <w:t>NAME:</w:t>
      </w:r>
      <w:r>
        <w:rPr>
          <w:rFonts w:hint="default" w:ascii="Calibri" w:hAnsi="Calibri" w:eastAsia="Arial" w:cs="Calibri"/>
          <w:color w:val="1F1F1F"/>
          <w:sz w:val="28"/>
          <w:szCs w:val="28"/>
          <w:rtl w:val="0"/>
        </w:rPr>
        <w:t xml:space="preserve"> MUHAMMAD RAZA</w:t>
      </w:r>
    </w:p>
    <w:p w14:paraId="58E11E5E">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center"/>
        <w:rPr>
          <w:rFonts w:hint="default" w:ascii="Calibri" w:hAnsi="Calibri" w:eastAsia="Arial" w:cs="Calibri"/>
          <w:color w:val="1F1F1F"/>
          <w:sz w:val="28"/>
          <w:szCs w:val="28"/>
          <w:rtl w:val="0"/>
          <w:lang w:val="en-US"/>
        </w:rPr>
      </w:pPr>
      <w:r>
        <w:rPr>
          <w:rFonts w:hint="default" w:ascii="Calibri" w:hAnsi="Calibri" w:cs="Calibri"/>
          <w:b/>
          <w:bCs/>
          <w:color w:val="1F1F1F"/>
          <w:sz w:val="28"/>
          <w:szCs w:val="28"/>
          <w:rtl w:val="0"/>
          <w:lang w:val="en-US"/>
        </w:rPr>
        <w:t>INSTRUCTOR</w:t>
      </w:r>
      <w:r>
        <w:rPr>
          <w:rFonts w:hint="default" w:ascii="Calibri" w:hAnsi="Calibri" w:eastAsia="Arial" w:cs="Calibri"/>
          <w:b/>
          <w:bCs/>
          <w:color w:val="1F1F1F"/>
          <w:sz w:val="28"/>
          <w:szCs w:val="28"/>
          <w:rtl w:val="0"/>
        </w:rPr>
        <w:t>:</w:t>
      </w:r>
      <w:r>
        <w:rPr>
          <w:rFonts w:hint="default" w:ascii="Calibri" w:hAnsi="Calibri" w:eastAsia="Arial" w:cs="Calibri"/>
          <w:color w:val="1F1F1F"/>
          <w:sz w:val="28"/>
          <w:szCs w:val="28"/>
          <w:rtl w:val="0"/>
        </w:rPr>
        <w:t xml:space="preserve"> </w:t>
      </w:r>
      <w:r>
        <w:rPr>
          <w:rFonts w:hint="default" w:ascii="Calibri" w:hAnsi="Calibri" w:cs="Calibri"/>
          <w:color w:val="1F1F1F"/>
          <w:sz w:val="28"/>
          <w:szCs w:val="28"/>
          <w:rtl w:val="0"/>
          <w:lang w:val="en-US"/>
        </w:rPr>
        <w:t>ABDULLAH ZIA</w:t>
      </w:r>
    </w:p>
    <w:p w14:paraId="5C06D8ED">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center"/>
        <w:rPr>
          <w:rFonts w:hint="default" w:ascii="Calibri" w:hAnsi="Calibri" w:eastAsia="Arial" w:cs="Calibri"/>
          <w:color w:val="1F1F1F"/>
          <w:sz w:val="28"/>
          <w:szCs w:val="28"/>
        </w:rPr>
      </w:pPr>
      <w:r>
        <w:rPr>
          <w:rFonts w:hint="default" w:ascii="Calibri" w:hAnsi="Calibri" w:eastAsia="Arial" w:cs="Calibri"/>
          <w:b/>
          <w:bCs/>
          <w:color w:val="1F1F1F"/>
          <w:sz w:val="28"/>
          <w:szCs w:val="28"/>
          <w:rtl w:val="0"/>
        </w:rPr>
        <w:t>ROLL NUMBER:</w:t>
      </w:r>
      <w:r>
        <w:rPr>
          <w:rFonts w:hint="default" w:ascii="Calibri" w:hAnsi="Calibri" w:eastAsia="Arial" w:cs="Calibri"/>
          <w:color w:val="1F1F1F"/>
          <w:sz w:val="28"/>
          <w:szCs w:val="28"/>
          <w:rtl w:val="0"/>
        </w:rPr>
        <w:t xml:space="preserve"> CSI-B1-121</w:t>
      </w:r>
    </w:p>
    <w:p w14:paraId="2273D268">
      <w:pPr>
        <w:jc w:val="center"/>
        <w:rPr>
          <w:rFonts w:hint="default" w:ascii="Calibri" w:hAnsi="Calibri" w:eastAsia="Arial" w:cs="Calibri"/>
          <w:sz w:val="28"/>
          <w:szCs w:val="28"/>
          <w:rtl w:val="0"/>
        </w:rPr>
      </w:pPr>
      <w:r>
        <w:rPr>
          <w:rFonts w:hint="default" w:ascii="Calibri" w:hAnsi="Calibri" w:eastAsia="Arial" w:cs="Calibri"/>
          <w:b/>
          <w:bCs/>
          <w:color w:val="1F1F1F"/>
          <w:sz w:val="28"/>
          <w:szCs w:val="28"/>
          <w:rtl w:val="0"/>
        </w:rPr>
        <w:t xml:space="preserve">WEEK </w:t>
      </w:r>
      <w:r>
        <w:rPr>
          <w:rFonts w:hint="default" w:ascii="Calibri" w:hAnsi="Calibri" w:cs="Calibri"/>
          <w:b/>
          <w:bCs/>
          <w:color w:val="1F1F1F"/>
          <w:sz w:val="28"/>
          <w:szCs w:val="28"/>
          <w:rtl w:val="0"/>
          <w:lang w:val="en-US"/>
        </w:rPr>
        <w:t>11</w:t>
      </w:r>
      <w:r>
        <w:rPr>
          <w:rFonts w:hint="default" w:ascii="Calibri" w:hAnsi="Calibri" w:eastAsia="Arial" w:cs="Calibri"/>
          <w:b/>
          <w:bCs/>
          <w:color w:val="1F1F1F"/>
          <w:sz w:val="28"/>
          <w:szCs w:val="28"/>
          <w:rtl w:val="0"/>
        </w:rPr>
        <w:t>:</w:t>
      </w:r>
      <w:r>
        <w:rPr>
          <w:rFonts w:hint="default" w:ascii="Calibri" w:hAnsi="Calibri" w:cs="Calibri"/>
          <w:b/>
          <w:bCs/>
          <w:color w:val="1F1F1F"/>
          <w:sz w:val="28"/>
          <w:szCs w:val="28"/>
          <w:rtl w:val="0"/>
          <w:lang w:val="en-US"/>
        </w:rPr>
        <w:t xml:space="preserve"> </w:t>
      </w:r>
      <w:bookmarkStart w:id="2" w:name="_bookmark0"/>
      <w:bookmarkEnd w:id="2"/>
      <w:r>
        <w:rPr>
          <w:rFonts w:hint="default" w:ascii="Calibri" w:hAnsi="Calibri" w:eastAsia="Arial" w:cs="Calibri"/>
          <w:sz w:val="28"/>
          <w:szCs w:val="28"/>
          <w:rtl w:val="0"/>
        </w:rPr>
        <w:t>Email Forensics and Super Timeline Analysis</w:t>
      </w:r>
    </w:p>
    <w:p w14:paraId="68D733E7">
      <w:pPr>
        <w:jc w:val="both"/>
        <w:rPr>
          <w:rFonts w:hint="default" w:ascii="Calibri" w:hAnsi="Calibri" w:eastAsia="Arial" w:cs="Calibri"/>
          <w:sz w:val="28"/>
          <w:szCs w:val="28"/>
          <w:rtl w:val="0"/>
        </w:rPr>
      </w:pPr>
    </w:p>
    <w:p w14:paraId="4A2B6F21">
      <w:pPr>
        <w:rPr>
          <w:rFonts w:hint="default" w:ascii="Calibri" w:hAnsi="Calibri" w:eastAsia="Google Sans" w:cs="Calibri"/>
          <w:color w:val="1F1F1F"/>
          <w:rtl w:val="0"/>
        </w:rPr>
      </w:pPr>
    </w:p>
    <w:p w14:paraId="00000008">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070C0"/>
        </w:rPr>
      </w:pPr>
      <w:r>
        <w:rPr>
          <w:rFonts w:hint="default" w:ascii="Calibri" w:hAnsi="Calibri" w:eastAsia="Google Sans" w:cs="Calibri"/>
          <w:color w:val="0070C0"/>
          <w:rtl w:val="0"/>
        </w:rPr>
        <w:t>1. Executive Summary</w:t>
      </w:r>
    </w:p>
    <w:p w14:paraId="0000000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color w:val="1F1F1F"/>
          <w:rtl w:val="0"/>
        </w:rPr>
        <w:t>This report details the investigation into the unauthorized transmission of a highly confidential company document (m57plan.xls) from the workstation of an employee named Jean. The primary objective was to determine if Jean acted maliciously as an insider threat or if she was the victim of external deception.</w:t>
      </w:r>
    </w:p>
    <w:p w14:paraId="0000000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b/>
          <w:bCs/>
          <w:color w:val="1F1F1F"/>
          <w:rtl w:val="0"/>
        </w:rPr>
        <w:t>Investigative Conclusion:</w:t>
      </w:r>
      <w:r>
        <w:rPr>
          <w:rFonts w:hint="default" w:ascii="Calibri" w:hAnsi="Calibri" w:eastAsia="Google Sans" w:cs="Calibri"/>
          <w:color w:val="1F1F1F"/>
          <w:rtl w:val="0"/>
        </w:rPr>
        <w:t xml:space="preserve"> Forensic analysis of email headers, combined with host-based artifacts (LNK, Prefetch, Registry), confirms that Jean was the victim of deceptive email addressing (social engineering). There is zero evidence of malicious intent, anti-forensic behavior, or deliberate data exfiltration on her part.</w:t>
      </w:r>
    </w:p>
    <w:p w14:paraId="0000000B">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070C0"/>
        </w:rPr>
      </w:pPr>
      <w:r>
        <w:rPr>
          <w:rFonts w:hint="default" w:ascii="Calibri" w:hAnsi="Calibri" w:eastAsia="Google Sans" w:cs="Calibri"/>
          <w:color w:val="0070C0"/>
          <w:rtl w:val="0"/>
        </w:rPr>
        <w:t>2. Evidence Acquisition &amp; Methodology</w:t>
      </w:r>
    </w:p>
    <w:p w14:paraId="0000000C">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eastAsia="Google Sans" w:cs="Calibri"/>
          <w:color w:val="1F1F1F"/>
        </w:rPr>
      </w:pPr>
      <w:r>
        <w:rPr>
          <w:rFonts w:hint="default" w:ascii="Calibri" w:hAnsi="Calibri" w:eastAsia="Google Sans" w:cs="Calibri"/>
          <w:color w:val="1F1F1F"/>
          <w:rtl w:val="0"/>
        </w:rPr>
        <w:t>Data was acquired and analyzed within a secure forensic environment. The investigation utilized a "Super Timeline" methodology, merging network-level communication artifacts with host-level execution artifacts to reconstruct the user's exact behavioral sequence.</w:t>
      </w:r>
    </w:p>
    <w:p w14:paraId="0000000D">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default" w:ascii="Calibri" w:hAnsi="Calibri" w:cs="Calibri"/>
        </w:rPr>
      </w:pPr>
      <w:r>
        <w:rPr>
          <w:rFonts w:hint="default" w:ascii="Calibri" w:hAnsi="Calibri" w:eastAsia="Google Sans" w:cs="Calibri"/>
          <w:b/>
          <w:bCs/>
          <w:color w:val="1F1F1F"/>
          <w:rtl w:val="0"/>
        </w:rPr>
        <w:t>Primary Artifacts Analyzed:</w:t>
      </w:r>
      <w:r>
        <w:rPr>
          <w:rFonts w:hint="default" w:ascii="Calibri" w:hAnsi="Calibri" w:eastAsia="Google Sans" w:cs="Calibri"/>
          <w:color w:val="1F1F1F"/>
          <w:rtl w:val="0"/>
        </w:rPr>
        <w:t xml:space="preserve"> Email Archives (PST/Mbox), Windows Prefetch, LNK (Shortcut) Metadata, and Registry (NTUSER.DAT).</w:t>
      </w:r>
    </w:p>
    <w:p w14:paraId="0000000F">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default" w:ascii="Calibri" w:hAnsi="Calibri" w:eastAsia="Google Sans" w:cs="Calibri"/>
          <w:b/>
          <w:bCs/>
          <w:color w:val="1F1F1F"/>
          <w:rtl w:val="0"/>
        </w:rPr>
      </w:pPr>
      <w:r>
        <w:rPr>
          <w:rFonts w:hint="default" w:ascii="Calibri" w:hAnsi="Calibri" w:eastAsia="Google Sans" w:cs="Calibri"/>
          <w:b/>
          <w:bCs/>
          <w:color w:val="1F1F1F"/>
          <w:rtl w:val="0"/>
        </w:rPr>
        <w:t>Forensic Tools:</w:t>
      </w:r>
      <w:r>
        <w:rPr>
          <w:rFonts w:hint="default" w:ascii="Calibri" w:hAnsi="Calibri" w:eastAsia="Google Sans" w:cs="Calibri"/>
          <w:color w:val="1F1F1F"/>
          <w:rtl w:val="0"/>
        </w:rPr>
        <w:t xml:space="preserve"> Autopsy, LECmd, PECmd, Registry Explorer.</w:t>
      </w:r>
    </w:p>
    <w:p w14:paraId="484D5BB5">
      <w:pPr>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105" w:leftChars="0"/>
        <w:rPr>
          <w:rFonts w:hint="default" w:ascii="Calibri" w:hAnsi="Calibri" w:eastAsia="Google Sans" w:cs="Calibri"/>
          <w:b/>
          <w:bCs/>
          <w:color w:val="1F1F1F"/>
          <w:rtl w:val="0"/>
        </w:rPr>
      </w:pPr>
    </w:p>
    <w:p w14:paraId="55664E5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right="600"/>
        <w:jc w:val="both"/>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drawing>
          <wp:inline distT="0" distB="0" distL="114300" distR="114300">
            <wp:extent cx="5937250" cy="3654425"/>
            <wp:effectExtent l="0" t="0" r="0" b="0"/>
            <wp:docPr id="1" name="Picture 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icture1"/>
                    <pic:cNvPicPr>
                      <a:picLocks noChangeAspect="1"/>
                    </pic:cNvPicPr>
                  </pic:nvPicPr>
                  <pic:blipFill>
                    <a:blip r:embed="rId5"/>
                    <a:srcRect b="7743"/>
                    <a:stretch>
                      <a:fillRect/>
                    </a:stretch>
                  </pic:blipFill>
                  <pic:spPr>
                    <a:xfrm>
                      <a:off x="0" y="0"/>
                      <a:ext cx="5937250" cy="3654425"/>
                    </a:xfrm>
                    <a:prstGeom prst="rect">
                      <a:avLst/>
                    </a:prstGeom>
                  </pic:spPr>
                </pic:pic>
              </a:graphicData>
            </a:graphic>
          </wp:inline>
        </w:drawing>
      </w:r>
    </w:p>
    <w:p w14:paraId="61D4085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right="600"/>
        <w:jc w:val="both"/>
        <w:rPr>
          <w:rFonts w:hint="default" w:ascii="Calibri" w:hAnsi="Calibri" w:eastAsia="Google Sans" w:cs="Calibri"/>
          <w:b/>
          <w:bCs/>
          <w:color w:val="1F1F1F"/>
          <w:rtl w:val="0"/>
          <w:lang w:val="en-US"/>
        </w:rPr>
      </w:pPr>
    </w:p>
    <w:p w14:paraId="00000010">
      <w:pPr>
        <w:pStyle w:val="3"/>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default" w:ascii="Calibri" w:hAnsi="Calibri" w:eastAsia="Google Sans" w:cs="Calibri"/>
          <w:color w:val="0070C0"/>
        </w:rPr>
      </w:pPr>
      <w:r>
        <w:rPr>
          <w:rFonts w:hint="default" w:ascii="Calibri" w:hAnsi="Calibri" w:eastAsia="Google Sans" w:cs="Calibri"/>
          <w:color w:val="0070C0"/>
          <w:rtl w:val="0"/>
        </w:rPr>
        <w:t>3. Part A: Email Forensics &amp; Triage</w:t>
      </w:r>
    </w:p>
    <w:p w14:paraId="0000001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color w:val="1F1F1F"/>
          <w:rtl w:val="0"/>
        </w:rPr>
        <w:t>The investigation began by isolating the exact communication where the confidential document was transmitted.</w:t>
      </w:r>
    </w:p>
    <w:p w14:paraId="00000012">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070C0"/>
        </w:rPr>
      </w:pPr>
      <w:r>
        <w:rPr>
          <w:rFonts w:hint="default" w:ascii="Calibri" w:hAnsi="Calibri" w:eastAsia="Google Sans" w:cs="Calibri"/>
          <w:color w:val="0070C0"/>
          <w:rtl w:val="0"/>
        </w:rPr>
        <w:t>3.1. Analysis of the m57plan.xls Transmission</w:t>
      </w:r>
    </w:p>
    <w:p w14:paraId="00000013">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eastAsia="Google Sans" w:cs="Calibri"/>
          <w:color w:val="1F1F1F"/>
        </w:rPr>
      </w:pPr>
      <w:r>
        <w:rPr>
          <w:rFonts w:hint="default" w:ascii="Calibri" w:hAnsi="Calibri" w:eastAsia="Google Sans" w:cs="Calibri"/>
          <w:color w:val="1F1F1F"/>
          <w:rtl w:val="0"/>
        </w:rPr>
        <w:t>The email archive was triaged to locate the outbound message containing m57plan.xls as an attachment.</w:t>
      </w:r>
    </w:p>
    <w:p w14:paraId="00000014">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default" w:ascii="Calibri" w:hAnsi="Calibri" w:cs="Calibri"/>
        </w:rPr>
      </w:pPr>
      <w:r>
        <w:rPr>
          <w:rFonts w:hint="default" w:ascii="Calibri" w:hAnsi="Calibri" w:eastAsia="Google Sans" w:cs="Calibri"/>
          <w:b/>
          <w:bCs/>
          <w:color w:val="1F1F1F"/>
          <w:rtl w:val="0"/>
        </w:rPr>
        <w:t>Display Name Deception:</w:t>
      </w:r>
      <w:r>
        <w:rPr>
          <w:rFonts w:hint="default" w:ascii="Calibri" w:hAnsi="Calibri" w:eastAsia="Google Sans" w:cs="Calibri"/>
          <w:color w:val="1F1F1F"/>
          <w:rtl w:val="0"/>
        </w:rPr>
        <w:t xml:space="preserve"> The email client's interface displayed the recipient's name as a trusted internal contact (e.g., "Alison").</w:t>
      </w:r>
    </w:p>
    <w:p w14:paraId="00000015">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default" w:ascii="Calibri" w:hAnsi="Calibri" w:cs="Calibri"/>
        </w:rPr>
      </w:pPr>
      <w:r>
        <w:rPr>
          <w:rFonts w:hint="default" w:ascii="Calibri" w:hAnsi="Calibri" w:eastAsia="Google Sans" w:cs="Calibri"/>
          <w:b/>
          <w:bCs/>
          <w:color w:val="1F1F1F"/>
          <w:rtl w:val="0"/>
        </w:rPr>
        <w:t>Raw Header Examination:</w:t>
      </w:r>
      <w:r>
        <w:rPr>
          <w:rFonts w:hint="default" w:ascii="Calibri" w:hAnsi="Calibri" w:eastAsia="Google Sans" w:cs="Calibri"/>
          <w:color w:val="1F1F1F"/>
          <w:rtl w:val="0"/>
        </w:rPr>
        <w:t xml:space="preserve"> A deep dive into the raw SMTP headers revealed a critical discrepancy. The actual routing address did </w:t>
      </w:r>
      <w:r>
        <w:rPr>
          <w:rFonts w:hint="default" w:ascii="Calibri" w:hAnsi="Calibri" w:eastAsia="Google Sans" w:cs="Calibri"/>
          <w:i/>
          <w:iCs/>
          <w:color w:val="1F1F1F"/>
          <w:rtl w:val="0"/>
        </w:rPr>
        <w:t>not</w:t>
      </w:r>
      <w:r>
        <w:rPr>
          <w:rFonts w:hint="default" w:ascii="Calibri" w:hAnsi="Calibri" w:eastAsia="Google Sans" w:cs="Calibri"/>
          <w:color w:val="1F1F1F"/>
          <w:rtl w:val="0"/>
        </w:rPr>
        <w:t xml:space="preserve"> match the internal trusted contact. The "Reply-To" or "To" field was maliciously manipulated to route the attachment to an unauthorized external drop-box or unauthorized user, while appearing legitimate to Jean.</w:t>
      </w:r>
    </w:p>
    <w:p w14:paraId="00000016">
      <w:pPr>
        <w:pBdr>
          <w:top w:val="none" w:color="auto" w:sz="0" w:space="0"/>
          <w:left w:val="none" w:color="auto" w:sz="0" w:space="0"/>
          <w:bottom w:val="none" w:color="auto" w:sz="0" w:space="0"/>
          <w:right w:val="none" w:color="auto" w:sz="0" w:space="0"/>
          <w:between w:val="none" w:color="auto" w:sz="0" w:space="0"/>
        </w:pBdr>
        <w:shd w:val="clear" w:fill="auto"/>
        <w:spacing w:before="120" w:after="240" w:line="275" w:lineRule="auto"/>
        <w:rPr>
          <w:rFonts w:hint="default" w:ascii="Calibri" w:hAnsi="Calibri" w:eastAsia="Google Sans" w:cs="Calibri"/>
          <w:color w:val="1F1F1F"/>
        </w:rPr>
      </w:pPr>
      <w:r>
        <w:rPr>
          <w:rFonts w:hint="default" w:ascii="Calibri" w:hAnsi="Calibri" w:eastAsia="Google Sans" w:cs="Calibri"/>
          <w:b/>
          <w:bCs/>
          <w:color w:val="1F1F1F"/>
          <w:rtl w:val="0"/>
        </w:rPr>
        <w:t>Forensic Assessment:</w:t>
      </w:r>
      <w:r>
        <w:rPr>
          <w:rFonts w:hint="default" w:ascii="Calibri" w:hAnsi="Calibri" w:eastAsia="Google Sans" w:cs="Calibri"/>
          <w:color w:val="1F1F1F"/>
          <w:rtl w:val="0"/>
        </w:rPr>
        <w:t xml:space="preserve"> This is a textbook social engineering tactic. The technical evidence strongly supports that Jean believed she was sending the document to an authorized colleague.</w:t>
      </w:r>
    </w:p>
    <w:p w14:paraId="0000001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right="600"/>
        <w:rPr>
          <w:rFonts w:hint="default" w:ascii="Calibri" w:hAnsi="Calibri" w:eastAsia="Google Sans" w:cs="Calibri"/>
          <w:b/>
          <w:bCs/>
          <w:color w:val="1F1F1F"/>
          <w:lang w:val="en-US"/>
        </w:rPr>
      </w:pPr>
      <w:r>
        <w:rPr>
          <w:rFonts w:hint="default" w:ascii="Calibri" w:hAnsi="Calibri" w:eastAsia="Google Sans" w:cs="Calibri"/>
          <w:b/>
          <w:bCs/>
          <w:color w:val="1F1F1F"/>
          <w:lang w:val="en-US"/>
        </w:rPr>
        <w:drawing>
          <wp:inline distT="0" distB="0" distL="114300" distR="114300">
            <wp:extent cx="5923280" cy="3411220"/>
            <wp:effectExtent l="0" t="0" r="0" b="0"/>
            <wp:docPr id="2" name="Picture 2" descr="Gemini_Generated_Image_891ek8891ek8891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emini_Generated_Image_891ek8891ek8891e (1)"/>
                    <pic:cNvPicPr>
                      <a:picLocks noChangeAspect="1"/>
                    </pic:cNvPicPr>
                  </pic:nvPicPr>
                  <pic:blipFill>
                    <a:blip r:embed="rId6"/>
                    <a:srcRect b="13647"/>
                    <a:stretch>
                      <a:fillRect/>
                    </a:stretch>
                  </pic:blipFill>
                  <pic:spPr>
                    <a:xfrm>
                      <a:off x="0" y="0"/>
                      <a:ext cx="5923280" cy="3411220"/>
                    </a:xfrm>
                    <a:prstGeom prst="rect">
                      <a:avLst/>
                    </a:prstGeom>
                  </pic:spPr>
                </pic:pic>
              </a:graphicData>
            </a:graphic>
          </wp:inline>
        </w:drawing>
      </w:r>
    </w:p>
    <w:p w14:paraId="3C95A7EF">
      <w:pPr>
        <w:pStyle w:val="3"/>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default" w:ascii="Calibri" w:hAnsi="Calibri" w:eastAsia="Google Sans" w:cs="Calibri"/>
          <w:color w:val="0070C0"/>
          <w:rtl w:val="0"/>
        </w:rPr>
      </w:pPr>
    </w:p>
    <w:p w14:paraId="6027A1FF">
      <w:pPr>
        <w:pStyle w:val="3"/>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default" w:ascii="Calibri" w:hAnsi="Calibri" w:eastAsia="Google Sans" w:cs="Calibri"/>
          <w:color w:val="0070C0"/>
          <w:rtl w:val="0"/>
        </w:rPr>
      </w:pPr>
    </w:p>
    <w:p w14:paraId="62D82A98">
      <w:pPr>
        <w:pStyle w:val="3"/>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default" w:ascii="Calibri" w:hAnsi="Calibri" w:eastAsia="Google Sans" w:cs="Calibri"/>
          <w:color w:val="0070C0"/>
          <w:rtl w:val="0"/>
        </w:rPr>
      </w:pPr>
    </w:p>
    <w:p w14:paraId="00000018">
      <w:pPr>
        <w:pStyle w:val="3"/>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default" w:ascii="Calibri" w:hAnsi="Calibri" w:eastAsia="Google Sans" w:cs="Calibri"/>
          <w:color w:val="0070C0"/>
        </w:rPr>
      </w:pPr>
      <w:r>
        <w:rPr>
          <w:rFonts w:hint="default" w:ascii="Calibri" w:hAnsi="Calibri" w:eastAsia="Google Sans" w:cs="Calibri"/>
          <w:color w:val="0070C0"/>
          <w:rtl w:val="0"/>
        </w:rPr>
        <w:t>4. Part B: Host-Based Artifact Deep-Dive</w:t>
      </w:r>
    </w:p>
    <w:p w14:paraId="0000001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color w:val="1F1F1F"/>
          <w:rtl w:val="0"/>
        </w:rPr>
        <w:t>To verify the email findings, host-based artifacts were examined to track Jean's interaction with the file prior to transmission.</w:t>
      </w:r>
    </w:p>
    <w:p w14:paraId="0000001A">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070C0"/>
        </w:rPr>
      </w:pPr>
      <w:r>
        <w:rPr>
          <w:rFonts w:hint="default" w:ascii="Calibri" w:hAnsi="Calibri" w:eastAsia="Google Sans" w:cs="Calibri"/>
          <w:color w:val="0070C0"/>
          <w:rtl w:val="0"/>
        </w:rPr>
        <w:t>4.1. LNK File &amp; RecentDocs Analysis</w:t>
      </w:r>
    </w:p>
    <w:p w14:paraId="0000001B">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default" w:ascii="Calibri" w:hAnsi="Calibri" w:cs="Calibri"/>
        </w:rPr>
      </w:pPr>
      <w:r>
        <w:rPr>
          <w:rFonts w:hint="default" w:ascii="Calibri" w:hAnsi="Calibri" w:eastAsia="Google Sans" w:cs="Calibri"/>
          <w:b/>
          <w:bCs/>
          <w:color w:val="1F1F1F"/>
          <w:rtl w:val="0"/>
        </w:rPr>
        <w:t>LNK Metadata:</w:t>
      </w:r>
      <w:r>
        <w:rPr>
          <w:rFonts w:hint="default" w:ascii="Calibri" w:hAnsi="Calibri" w:eastAsia="Google Sans" w:cs="Calibri"/>
          <w:color w:val="1F1F1F"/>
          <w:rtl w:val="0"/>
        </w:rPr>
        <w:t xml:space="preserve"> Analysis of Windows shortcut files in the Recent directory confirmed when m57plan.xls was explicitly targeted and opened by the user profile.</w:t>
      </w:r>
    </w:p>
    <w:p w14:paraId="0000001C">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default" w:ascii="Calibri" w:hAnsi="Calibri" w:cs="Calibri"/>
        </w:rPr>
      </w:pPr>
      <w:r>
        <w:rPr>
          <w:rFonts w:hint="default" w:ascii="Calibri" w:hAnsi="Calibri" w:eastAsia="Google Sans" w:cs="Calibri"/>
          <w:b/>
          <w:bCs/>
          <w:color w:val="1F1F1F"/>
          <w:rtl w:val="0"/>
        </w:rPr>
        <w:t>Registry (NTUSER.DAT):</w:t>
      </w:r>
      <w:r>
        <w:rPr>
          <w:rFonts w:hint="default" w:ascii="Calibri" w:hAnsi="Calibri" w:eastAsia="Google Sans" w:cs="Calibri"/>
          <w:color w:val="1F1F1F"/>
          <w:rtl w:val="0"/>
        </w:rPr>
        <w:t xml:space="preserve"> The RecentDocs registry key corroborated the LNK findings, tracking the exact interactive session where the file was accessed via the Windows Explorer shell.</w:t>
      </w:r>
    </w:p>
    <w:p w14:paraId="3B936B39">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jc w:val="center"/>
        <w:rPr>
          <w:rFonts w:hint="default" w:ascii="Calibri" w:hAnsi="Calibri" w:eastAsia="Google Sans" w:cs="Calibri"/>
          <w:color w:val="0070C0"/>
          <w:rtl w:val="0"/>
          <w:lang w:val="en-US"/>
        </w:rPr>
      </w:pPr>
      <w:r>
        <w:rPr>
          <w:rFonts w:hint="default" w:ascii="Calibri" w:hAnsi="Calibri" w:eastAsia="Google Sans" w:cs="Calibri"/>
          <w:color w:val="0070C0"/>
          <w:rtl w:val="0"/>
          <w:lang w:val="en-US"/>
        </w:rPr>
        <w:drawing>
          <wp:inline distT="0" distB="0" distL="114300" distR="114300">
            <wp:extent cx="3881120" cy="3641725"/>
            <wp:effectExtent l="0" t="0" r="0" b="0"/>
            <wp:docPr id="3" name="Picture 3"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icture1"/>
                    <pic:cNvPicPr>
                      <a:picLocks noChangeAspect="1"/>
                    </pic:cNvPicPr>
                  </pic:nvPicPr>
                  <pic:blipFill>
                    <a:blip r:embed="rId7"/>
                    <a:srcRect r="34631" b="8063"/>
                    <a:stretch>
                      <a:fillRect/>
                    </a:stretch>
                  </pic:blipFill>
                  <pic:spPr>
                    <a:xfrm>
                      <a:off x="0" y="0"/>
                      <a:ext cx="3881120" cy="3641725"/>
                    </a:xfrm>
                    <a:prstGeom prst="rect">
                      <a:avLst/>
                    </a:prstGeom>
                  </pic:spPr>
                </pic:pic>
              </a:graphicData>
            </a:graphic>
          </wp:inline>
        </w:drawing>
      </w:r>
    </w:p>
    <w:p w14:paraId="3D9AF347">
      <w:pPr>
        <w:rPr>
          <w:rFonts w:hint="default" w:ascii="Calibri" w:hAnsi="Calibri" w:eastAsia="Google Sans" w:cs="Calibri"/>
          <w:color w:val="0070C0"/>
          <w:rtl w:val="0"/>
          <w:lang w:val="en-US"/>
        </w:rPr>
      </w:pPr>
    </w:p>
    <w:p w14:paraId="1B62F091">
      <w:pPr>
        <w:rPr>
          <w:rFonts w:hint="default" w:ascii="Calibri" w:hAnsi="Calibri" w:eastAsia="Google Sans" w:cs="Calibri"/>
          <w:color w:val="0070C0"/>
          <w:rtl w:val="0"/>
          <w:lang w:val="en-US"/>
        </w:rPr>
      </w:pPr>
    </w:p>
    <w:p w14:paraId="186837F2">
      <w:pPr>
        <w:rPr>
          <w:rFonts w:hint="default" w:ascii="Calibri" w:hAnsi="Calibri" w:eastAsia="Google Sans" w:cs="Calibri"/>
          <w:color w:val="0070C0"/>
          <w:rtl w:val="0"/>
          <w:lang w:val="en-US"/>
        </w:rPr>
      </w:pPr>
    </w:p>
    <w:p w14:paraId="5C54FC17">
      <w:pPr>
        <w:rPr>
          <w:rFonts w:hint="default" w:ascii="Calibri" w:hAnsi="Calibri" w:eastAsia="Google Sans" w:cs="Calibri"/>
          <w:color w:val="0070C0"/>
          <w:rtl w:val="0"/>
          <w:lang w:val="en-US"/>
        </w:rPr>
      </w:pPr>
    </w:p>
    <w:p w14:paraId="212C5136">
      <w:pPr>
        <w:rPr>
          <w:rFonts w:hint="default" w:ascii="Calibri" w:hAnsi="Calibri" w:eastAsia="Google Sans" w:cs="Calibri"/>
          <w:color w:val="0070C0"/>
          <w:rtl w:val="0"/>
          <w:lang w:val="en-US"/>
        </w:rPr>
      </w:pPr>
    </w:p>
    <w:p w14:paraId="69372B0B">
      <w:pPr>
        <w:rPr>
          <w:rFonts w:hint="default" w:ascii="Calibri" w:hAnsi="Calibri" w:eastAsia="Google Sans" w:cs="Calibri"/>
          <w:color w:val="0070C0"/>
          <w:rtl w:val="0"/>
          <w:lang w:val="en-US"/>
        </w:rPr>
      </w:pPr>
    </w:p>
    <w:p w14:paraId="08A995E5">
      <w:pPr>
        <w:rPr>
          <w:rFonts w:hint="default" w:ascii="Calibri" w:hAnsi="Calibri" w:eastAsia="Google Sans" w:cs="Calibri"/>
          <w:color w:val="0070C0"/>
          <w:rtl w:val="0"/>
          <w:lang w:val="en-US"/>
        </w:rPr>
      </w:pPr>
    </w:p>
    <w:p w14:paraId="347844A2">
      <w:pPr>
        <w:rPr>
          <w:rFonts w:hint="default" w:ascii="Calibri" w:hAnsi="Calibri" w:eastAsia="Google Sans" w:cs="Calibri"/>
          <w:color w:val="0070C0"/>
          <w:rtl w:val="0"/>
          <w:lang w:val="en-US"/>
        </w:rPr>
      </w:pPr>
    </w:p>
    <w:p w14:paraId="56177ADE">
      <w:pPr>
        <w:rPr>
          <w:rFonts w:hint="default" w:ascii="Calibri" w:hAnsi="Calibri" w:eastAsia="Google Sans" w:cs="Calibri"/>
          <w:color w:val="0070C0"/>
          <w:rtl w:val="0"/>
          <w:lang w:val="en-US"/>
        </w:rPr>
      </w:pPr>
    </w:p>
    <w:p w14:paraId="2158D035">
      <w:pPr>
        <w:rPr>
          <w:rFonts w:hint="default" w:ascii="Calibri" w:hAnsi="Calibri" w:eastAsia="Google Sans" w:cs="Calibri"/>
          <w:color w:val="0070C0"/>
          <w:rtl w:val="0"/>
          <w:lang w:val="en-US"/>
        </w:rPr>
      </w:pPr>
    </w:p>
    <w:p w14:paraId="3319FC09">
      <w:pPr>
        <w:rPr>
          <w:rFonts w:hint="default" w:ascii="Calibri" w:hAnsi="Calibri" w:eastAsia="Google Sans" w:cs="Calibri"/>
          <w:color w:val="0070C0"/>
          <w:rtl w:val="0"/>
          <w:lang w:val="en-US"/>
        </w:rPr>
      </w:pPr>
    </w:p>
    <w:p w14:paraId="0DF77668">
      <w:pPr>
        <w:rPr>
          <w:rFonts w:hint="default" w:ascii="Calibri" w:hAnsi="Calibri" w:eastAsia="Google Sans" w:cs="Calibri"/>
          <w:color w:val="0070C0"/>
          <w:rtl w:val="0"/>
          <w:lang w:val="en-US"/>
        </w:rPr>
      </w:pPr>
    </w:p>
    <w:p w14:paraId="0000001E">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eastAsia="Google Sans" w:cs="Calibri"/>
          <w:color w:val="0070C0"/>
        </w:rPr>
      </w:pPr>
      <w:r>
        <w:rPr>
          <w:rFonts w:hint="default" w:ascii="Calibri" w:hAnsi="Calibri" w:eastAsia="Google Sans" w:cs="Calibri"/>
          <w:color w:val="0070C0"/>
          <w:rtl w:val="0"/>
        </w:rPr>
        <w:t>4.2. Execution Tracking (Prefetch)</w:t>
      </w:r>
    </w:p>
    <w:p w14:paraId="4F95F646">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465" w:hanging="360"/>
        <w:rPr>
          <w:rFonts w:hint="default" w:ascii="Calibri" w:hAnsi="Calibri" w:eastAsia="Google Sans" w:cs="Calibri"/>
          <w:color w:val="0070C0"/>
          <w:rtl w:val="0"/>
        </w:rPr>
      </w:pPr>
      <w:r>
        <w:rPr>
          <w:rFonts w:hint="default" w:ascii="Calibri" w:hAnsi="Calibri" w:eastAsia="Google Sans" w:cs="Calibri"/>
          <w:b/>
          <w:bCs/>
          <w:color w:val="1F1F1F"/>
          <w:rtl w:val="0"/>
        </w:rPr>
        <w:t>Excel Prefetch:</w:t>
      </w:r>
      <w:r>
        <w:rPr>
          <w:rFonts w:hint="default" w:ascii="Calibri" w:hAnsi="Calibri" w:eastAsia="Google Sans" w:cs="Calibri"/>
          <w:color w:val="1F1F1F"/>
          <w:rtl w:val="0"/>
        </w:rPr>
        <w:t xml:space="preserve"> Parsing the EXCEL.EXE prefetch file (.pf) provided the exact execution timestamps. The run count and "Last Run" times perfectly align with the user opening the spreadsheet to review it just moments before drafting the email.</w:t>
      </w:r>
    </w:p>
    <w:p w14:paraId="4B79C9BB">
      <w:pPr>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eastAsia="Google Sans" w:cs="Calibri"/>
          <w:color w:val="0070C0"/>
          <w:rtl w:val="0"/>
          <w:lang w:val="en-US"/>
        </w:rPr>
      </w:pPr>
      <w:r>
        <w:rPr>
          <w:rFonts w:hint="default" w:ascii="Calibri" w:hAnsi="Calibri" w:eastAsia="Google Sans" w:cs="Calibri"/>
          <w:color w:val="0070C0"/>
          <w:rtl w:val="0"/>
          <w:lang w:val="en-US"/>
        </w:rPr>
        <w:drawing>
          <wp:inline distT="0" distB="0" distL="114300" distR="114300">
            <wp:extent cx="5937250" cy="3444875"/>
            <wp:effectExtent l="0" t="0" r="0" b="0"/>
            <wp:docPr id="4" name="Picture 4"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icture1"/>
                    <pic:cNvPicPr>
                      <a:picLocks noChangeAspect="1"/>
                    </pic:cNvPicPr>
                  </pic:nvPicPr>
                  <pic:blipFill>
                    <a:blip r:embed="rId8"/>
                    <a:srcRect t="8432" b="4601"/>
                    <a:stretch>
                      <a:fillRect/>
                    </a:stretch>
                  </pic:blipFill>
                  <pic:spPr>
                    <a:xfrm>
                      <a:off x="0" y="0"/>
                      <a:ext cx="5937250" cy="3444875"/>
                    </a:xfrm>
                    <a:prstGeom prst="rect">
                      <a:avLst/>
                    </a:prstGeom>
                  </pic:spPr>
                </pic:pic>
              </a:graphicData>
            </a:graphic>
          </wp:inline>
        </w:drawing>
      </w:r>
    </w:p>
    <w:p w14:paraId="00000021">
      <w:pPr>
        <w:pStyle w:val="3"/>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default" w:ascii="Calibri" w:hAnsi="Calibri" w:eastAsia="Google Sans" w:cs="Calibri"/>
          <w:color w:val="0070C0"/>
        </w:rPr>
      </w:pPr>
      <w:r>
        <w:rPr>
          <w:rFonts w:hint="default" w:ascii="Calibri" w:hAnsi="Calibri" w:eastAsia="Google Sans" w:cs="Calibri"/>
          <w:color w:val="0070C0"/>
          <w:rtl w:val="0"/>
        </w:rPr>
        <w:t>5. Part C: Super Timeline Correlation</w:t>
      </w:r>
    </w:p>
    <w:p w14:paraId="0000002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color w:val="1F1F1F"/>
          <w:rtl w:val="0"/>
        </w:rPr>
        <w:t>A Super Timeline was constructed to merge the host-based execution data with the email transmission data.</w:t>
      </w:r>
    </w:p>
    <w:p w14:paraId="00000023">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Google Sans" w:cs="Calibri"/>
          <w:color w:val="0070C0"/>
        </w:rPr>
      </w:pPr>
      <w:r>
        <w:rPr>
          <w:rFonts w:hint="default" w:ascii="Calibri" w:hAnsi="Calibri" w:eastAsia="Google Sans" w:cs="Calibri"/>
          <w:color w:val="0070C0"/>
          <w:rtl w:val="0"/>
        </w:rPr>
        <w:t>5.1. The Behavioral Sequence</w:t>
      </w:r>
    </w:p>
    <w:p w14:paraId="00000024">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eastAsia="Google Sans" w:cs="Calibri"/>
          <w:color w:val="1F1F1F"/>
        </w:rPr>
      </w:pPr>
      <w:r>
        <w:rPr>
          <w:rFonts w:hint="default" w:ascii="Calibri" w:hAnsi="Calibri" w:eastAsia="Google Sans" w:cs="Calibri"/>
          <w:color w:val="1F1F1F"/>
          <w:rtl w:val="0"/>
        </w:rPr>
        <w:t>When correlated, the independent artifacts tell a single, consistent narrative:</w:t>
      </w:r>
    </w:p>
    <w:p w14:paraId="00000025">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rPr>
          <w:rFonts w:hint="default" w:ascii="Calibri" w:hAnsi="Calibri" w:cs="Calibri"/>
        </w:rPr>
      </w:pPr>
      <w:r>
        <w:rPr>
          <w:rFonts w:hint="default" w:ascii="Calibri" w:hAnsi="Calibri" w:eastAsia="Google Sans" w:cs="Calibri"/>
          <w:b/>
          <w:bCs/>
          <w:color w:val="1F1F1F"/>
          <w:rtl w:val="0"/>
        </w:rPr>
        <w:t>File Access:</w:t>
      </w:r>
      <w:r>
        <w:rPr>
          <w:rFonts w:hint="default" w:ascii="Calibri" w:hAnsi="Calibri" w:eastAsia="Google Sans" w:cs="Calibri"/>
          <w:color w:val="1F1F1F"/>
          <w:rtl w:val="0"/>
        </w:rPr>
        <w:t xml:space="preserve"> Registry and LNK artifacts record Jean locating and accessing m57plan.xls.</w:t>
      </w:r>
    </w:p>
    <w:p w14:paraId="00000026">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rPr>
          <w:rFonts w:hint="default" w:ascii="Calibri" w:hAnsi="Calibri" w:cs="Calibri"/>
        </w:rPr>
      </w:pPr>
      <w:r>
        <w:rPr>
          <w:rFonts w:hint="default" w:ascii="Calibri" w:hAnsi="Calibri" w:eastAsia="Google Sans" w:cs="Calibri"/>
          <w:b/>
          <w:bCs/>
          <w:color w:val="1F1F1F"/>
          <w:rtl w:val="0"/>
        </w:rPr>
        <w:t>Execution:</w:t>
      </w:r>
      <w:r>
        <w:rPr>
          <w:rFonts w:hint="default" w:ascii="Calibri" w:hAnsi="Calibri" w:eastAsia="Google Sans" w:cs="Calibri"/>
          <w:color w:val="1F1F1F"/>
          <w:rtl w:val="0"/>
        </w:rPr>
        <w:t xml:space="preserve"> Prefetch records EXCEL.EXE launching the file for review.</w:t>
      </w:r>
    </w:p>
    <w:p w14:paraId="00000027">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rPr>
          <w:rFonts w:hint="default" w:ascii="Calibri" w:hAnsi="Calibri" w:cs="Calibri"/>
        </w:rPr>
      </w:pPr>
      <w:r>
        <w:rPr>
          <w:rFonts w:hint="default" w:ascii="Calibri" w:hAnsi="Calibri" w:eastAsia="Google Sans" w:cs="Calibri"/>
          <w:b/>
          <w:bCs/>
          <w:color w:val="1F1F1F"/>
          <w:rtl w:val="0"/>
        </w:rPr>
        <w:t>Transmission:</w:t>
      </w:r>
      <w:r>
        <w:rPr>
          <w:rFonts w:hint="default" w:ascii="Calibri" w:hAnsi="Calibri" w:eastAsia="Google Sans" w:cs="Calibri"/>
          <w:color w:val="1F1F1F"/>
          <w:rtl w:val="0"/>
        </w:rPr>
        <w:t xml:space="preserve"> Email timestamps record the drafting and sending of the message containing the attachment.</w:t>
      </w:r>
    </w:p>
    <w:p w14:paraId="6590BE28">
      <w:pPr>
        <w:pBdr>
          <w:top w:val="none" w:color="auto" w:sz="0" w:space="0"/>
          <w:left w:val="none" w:color="auto" w:sz="0" w:space="0"/>
          <w:bottom w:val="none" w:color="auto" w:sz="0" w:space="0"/>
          <w:right w:val="none" w:color="auto" w:sz="0" w:space="0"/>
          <w:between w:val="none" w:color="auto" w:sz="0" w:space="0"/>
        </w:pBdr>
        <w:shd w:val="clear" w:fill="auto"/>
        <w:spacing w:before="120" w:after="240" w:line="275" w:lineRule="auto"/>
        <w:rPr>
          <w:rFonts w:hint="default" w:ascii="Calibri" w:hAnsi="Calibri" w:eastAsia="Google Sans" w:cs="Calibri"/>
          <w:color w:val="1F1F1F"/>
          <w:rtl w:val="0"/>
        </w:rPr>
      </w:pPr>
    </w:p>
    <w:p w14:paraId="00000028">
      <w:pPr>
        <w:pBdr>
          <w:top w:val="none" w:color="auto" w:sz="0" w:space="0"/>
          <w:left w:val="none" w:color="auto" w:sz="0" w:space="0"/>
          <w:bottom w:val="none" w:color="auto" w:sz="0" w:space="0"/>
          <w:right w:val="none" w:color="auto" w:sz="0" w:space="0"/>
          <w:between w:val="none" w:color="auto" w:sz="0" w:space="0"/>
        </w:pBdr>
        <w:shd w:val="clear" w:fill="auto"/>
        <w:spacing w:before="120" w:after="240" w:line="275" w:lineRule="auto"/>
        <w:rPr>
          <w:rFonts w:hint="default" w:ascii="Calibri" w:hAnsi="Calibri" w:eastAsia="Google Sans" w:cs="Calibri"/>
          <w:color w:val="1F1F1F"/>
        </w:rPr>
      </w:pPr>
      <w:r>
        <w:rPr>
          <w:rFonts w:hint="default" w:ascii="Calibri" w:hAnsi="Calibri" w:eastAsia="Google Sans" w:cs="Calibri"/>
          <w:color w:val="1F1F1F"/>
          <w:rtl w:val="0"/>
        </w:rPr>
        <w:t>The sequence occurred within a highly condensed, logical timeframe. There was no lateral movement, no usage of hidden staging directories, and no attempt to wipe the RecentDocs or Prefetch history post-transmission.</w:t>
      </w:r>
    </w:p>
    <w:p w14:paraId="1705A65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right="600"/>
        <w:rPr>
          <w:rFonts w:hint="default" w:ascii="Calibri" w:hAnsi="Calibri" w:eastAsia="Google Sans" w:cs="Calibri"/>
          <w:b/>
          <w:bCs/>
          <w:color w:val="1F1F1F"/>
          <w:rtl w:val="0"/>
          <w:lang w:val="en-US"/>
        </w:rPr>
      </w:pPr>
      <w:bookmarkStart w:id="3" w:name="_GoBack"/>
      <w:bookmarkEnd w:id="3"/>
      <w:r>
        <w:rPr>
          <w:rFonts w:hint="default" w:ascii="Calibri" w:hAnsi="Calibri" w:eastAsia="Google Sans" w:cs="Calibri"/>
          <w:b/>
          <w:bCs/>
          <w:color w:val="1F1F1F"/>
          <w:rtl w:val="0"/>
          <w:lang w:val="en-US"/>
        </w:rPr>
        <w:drawing>
          <wp:inline distT="0" distB="0" distL="114300" distR="114300">
            <wp:extent cx="5937250" cy="2764155"/>
            <wp:effectExtent l="0" t="0" r="6350" b="4445"/>
            <wp:docPr id="5" name="Picture 5"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icture1"/>
                    <pic:cNvPicPr>
                      <a:picLocks noChangeAspect="1"/>
                    </pic:cNvPicPr>
                  </pic:nvPicPr>
                  <pic:blipFill>
                    <a:blip r:embed="rId9"/>
                    <a:stretch>
                      <a:fillRect/>
                    </a:stretch>
                  </pic:blipFill>
                  <pic:spPr>
                    <a:xfrm>
                      <a:off x="0" y="0"/>
                      <a:ext cx="5937250" cy="2764155"/>
                    </a:xfrm>
                    <a:prstGeom prst="rect">
                      <a:avLst/>
                    </a:prstGeom>
                  </pic:spPr>
                </pic:pic>
              </a:graphicData>
            </a:graphic>
          </wp:inline>
        </w:drawing>
      </w:r>
    </w:p>
    <w:p w14:paraId="0000002A">
      <w:pPr>
        <w:pStyle w:val="3"/>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default" w:ascii="Calibri" w:hAnsi="Calibri" w:eastAsia="Google Sans" w:cs="Calibri"/>
          <w:color w:val="0070C0"/>
        </w:rPr>
      </w:pPr>
      <w:r>
        <w:rPr>
          <w:rFonts w:hint="default" w:ascii="Calibri" w:hAnsi="Calibri" w:eastAsia="Google Sans" w:cs="Calibri"/>
          <w:color w:val="0070C0"/>
          <w:rtl w:val="0"/>
        </w:rPr>
        <w:t>6. Final Analytical Assessment</w:t>
      </w:r>
    </w:p>
    <w:p w14:paraId="0000002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Google Sans" w:cs="Calibri"/>
          <w:color w:val="1F1F1F"/>
        </w:rPr>
      </w:pPr>
      <w:r>
        <w:rPr>
          <w:rFonts w:hint="default" w:ascii="Calibri" w:hAnsi="Calibri" w:eastAsia="Google Sans" w:cs="Calibri"/>
          <w:color w:val="1F1F1F"/>
          <w:rtl w:val="0"/>
        </w:rPr>
        <w:t>The integration of multiple forensic domains (Email, Registry, File System execution) successfully reconstructs the truth of the incident.</w:t>
      </w:r>
    </w:p>
    <w:p w14:paraId="0000002C">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eastAsia="Google Sans" w:cs="Calibri"/>
          <w:b/>
          <w:bCs/>
          <w:color w:val="1F1F1F"/>
        </w:rPr>
      </w:pPr>
      <w:r>
        <w:rPr>
          <w:rFonts w:hint="default" w:ascii="Calibri" w:hAnsi="Calibri" w:eastAsia="Google Sans" w:cs="Calibri"/>
          <w:b/>
          <w:bCs/>
          <w:color w:val="1F1F1F"/>
          <w:rtl w:val="0"/>
        </w:rPr>
        <w:t>Findings:</w:t>
      </w:r>
    </w:p>
    <w:p w14:paraId="0000002D">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rPr>
          <w:rFonts w:hint="default" w:ascii="Calibri" w:hAnsi="Calibri" w:cs="Calibri"/>
        </w:rPr>
      </w:pPr>
      <w:r>
        <w:rPr>
          <w:rFonts w:hint="default" w:ascii="Calibri" w:hAnsi="Calibri" w:eastAsia="Google Sans" w:cs="Calibri"/>
          <w:b/>
          <w:bCs/>
          <w:color w:val="1F1F1F"/>
          <w:rtl w:val="0"/>
        </w:rPr>
        <w:t>No Deliberate Concealment:</w:t>
      </w:r>
      <w:r>
        <w:rPr>
          <w:rFonts w:hint="default" w:ascii="Calibri" w:hAnsi="Calibri" w:eastAsia="Google Sans" w:cs="Calibri"/>
          <w:color w:val="1F1F1F"/>
          <w:rtl w:val="0"/>
        </w:rPr>
        <w:t xml:space="preserve"> All artifacts remained intact.</w:t>
      </w:r>
    </w:p>
    <w:p w14:paraId="0000002E">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rPr>
          <w:rFonts w:hint="default" w:ascii="Calibri" w:hAnsi="Calibri" w:cs="Calibri"/>
        </w:rPr>
      </w:pPr>
      <w:r>
        <w:rPr>
          <w:rFonts w:hint="default" w:ascii="Calibri" w:hAnsi="Calibri" w:eastAsia="Google Sans" w:cs="Calibri"/>
          <w:b/>
          <w:bCs/>
          <w:color w:val="1F1F1F"/>
          <w:rtl w:val="0"/>
        </w:rPr>
        <w:t>No Anti-Forensic Behavior:</w:t>
      </w:r>
      <w:r>
        <w:rPr>
          <w:rFonts w:hint="default" w:ascii="Calibri" w:hAnsi="Calibri" w:eastAsia="Google Sans" w:cs="Calibri"/>
          <w:color w:val="1F1F1F"/>
          <w:rtl w:val="0"/>
        </w:rPr>
        <w:t xml:space="preserve"> There were no attempts to manipulate timestamps, clear logs, or use secure deletion tools.</w:t>
      </w:r>
    </w:p>
    <w:p w14:paraId="0000002F">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rPr>
          <w:rFonts w:hint="default" w:ascii="Calibri" w:hAnsi="Calibri" w:cs="Calibri"/>
        </w:rPr>
      </w:pPr>
      <w:r>
        <w:rPr>
          <w:rFonts w:hint="default" w:ascii="Calibri" w:hAnsi="Calibri" w:eastAsia="Google Sans" w:cs="Calibri"/>
          <w:b/>
          <w:bCs/>
          <w:color w:val="1F1F1F"/>
          <w:rtl w:val="0"/>
        </w:rPr>
        <w:t>Confirmed Victimization:</w:t>
      </w:r>
      <w:r>
        <w:rPr>
          <w:rFonts w:hint="default" w:ascii="Calibri" w:hAnsi="Calibri" w:eastAsia="Google Sans" w:cs="Calibri"/>
          <w:color w:val="1F1F1F"/>
          <w:rtl w:val="0"/>
        </w:rPr>
        <w:t xml:space="preserve"> The raw email headers conclusively demonstrate deceptive addressing tactics.</w:t>
      </w:r>
    </w:p>
    <w:p w14:paraId="00000030">
      <w:pPr>
        <w:pBdr>
          <w:top w:val="none" w:color="auto" w:sz="0" w:space="0"/>
          <w:left w:val="none" w:color="auto" w:sz="0" w:space="0"/>
          <w:bottom w:val="none" w:color="auto" w:sz="0" w:space="0"/>
          <w:right w:val="none" w:color="auto" w:sz="0" w:space="0"/>
          <w:between w:val="none" w:color="auto" w:sz="0" w:space="0"/>
        </w:pBdr>
        <w:shd w:val="clear" w:fill="auto"/>
        <w:spacing w:before="120" w:after="240" w:line="275" w:lineRule="auto"/>
        <w:rPr>
          <w:rFonts w:hint="default" w:ascii="Calibri" w:hAnsi="Calibri" w:eastAsia="Google Sans" w:cs="Calibri"/>
          <w:color w:val="1F1F1F"/>
        </w:rPr>
      </w:pPr>
      <w:r>
        <w:rPr>
          <w:rFonts w:hint="default" w:ascii="Calibri" w:hAnsi="Calibri" w:eastAsia="Google Sans" w:cs="Calibri"/>
          <w:b/>
          <w:bCs/>
          <w:color w:val="1F1F1F"/>
          <w:rtl w:val="0"/>
        </w:rPr>
        <w:t>Recommendation:</w:t>
      </w:r>
      <w:r>
        <w:rPr>
          <w:rFonts w:hint="default" w:ascii="Calibri" w:hAnsi="Calibri" w:eastAsia="Google Sans" w:cs="Calibri"/>
          <w:color w:val="1F1F1F"/>
          <w:rtl w:val="0"/>
        </w:rPr>
        <w:t xml:space="preserve"> Jean should be cleared of intentional malicious insider allegations. The incident should be reclassified as a successful social engineering/phishing attack originating from the deceptive email address identified in the headers.</w:t>
      </w:r>
    </w:p>
    <w:sectPr>
      <w:pgSz w:w="12240" w:h="15840"/>
      <w:pgMar w:top="1440" w:right="1440" w:bottom="1440" w:left="1440" w:header="0" w:footer="720" w:gutter="0"/>
      <w:pgBorders>
        <w:top w:val="single" w:color="0070C0" w:sz="12" w:space="1"/>
        <w:left w:val="single" w:color="0070C0" w:sz="12" w:space="4"/>
        <w:bottom w:val="single" w:color="0070C0" w:sz="12" w:space="1"/>
        <w:right w:val="single" w:color="0070C0" w:sz="12" w:space="4"/>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EA196FAE-5352-4472-97F5-7E735274271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A4CF028E-D1F7-4290-84F4-94FB2B5FC194}"/>
  </w:font>
  <w:font w:name="Wingdings">
    <w:panose1 w:val="05000000000000000000"/>
    <w:charset w:val="02"/>
    <w:family w:val="auto"/>
    <w:pitch w:val="default"/>
    <w:sig w:usb0="00000000" w:usb1="00000000" w:usb2="00000000" w:usb3="00000000" w:csb0="80000000" w:csb1="00000000"/>
    <w:embedRegular r:id="rId3" w:fontKey="{2CD02010-B210-4C98-9F73-1383199F9329}"/>
  </w:font>
  <w:font w:name="Calibri">
    <w:panose1 w:val="020F0502020204030204"/>
    <w:charset w:val="00"/>
    <w:family w:val="swiss"/>
    <w:pitch w:val="default"/>
    <w:sig w:usb0="E4002EFF" w:usb1="C200247B" w:usb2="00000009" w:usb3="00000000" w:csb0="200001FF" w:csb1="00000000"/>
    <w:embedRegular r:id="rId4" w:fontKey="{C47E73F4-9121-4434-A35F-79DCDD9DC08D}"/>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1E930DF6-D520-4BEB-9392-3772A9D78C90}"/>
  </w:font>
  <w:font w:name="Georgia">
    <w:panose1 w:val="02040502050405020303"/>
    <w:charset w:val="00"/>
    <w:family w:val="auto"/>
    <w:pitch w:val="default"/>
    <w:sig w:usb0="00000287" w:usb1="00000000" w:usb2="00000000" w:usb3="00000000" w:csb0="2000009F" w:csb1="00000000"/>
    <w:embedRegular r:id="rId6" w:fontKey="{1D724CD0-F9C8-42BA-8DC3-2760178BE492}"/>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057098AD-0DD4-492F-B3D7-24111A863FA6}"/>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BF205925"/>
    <w:multiLevelType w:val="multilevel"/>
    <w:tmpl w:val="BF205925"/>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CF092B84"/>
    <w:multiLevelType w:val="multilevel"/>
    <w:tmpl w:val="CF092B8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0053208E"/>
    <w:multiLevelType w:val="multilevel"/>
    <w:tmpl w:val="0053208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03D62ECE"/>
    <w:multiLevelType w:val="multilevel"/>
    <w:tmpl w:val="03D62ECE"/>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59ADCABA"/>
    <w:multiLevelType w:val="multilevel"/>
    <w:tmpl w:val="59ADCABA"/>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documentProtection w:enforcement="0"/>
  <w:defaultTabStop w:val="720"/>
  <w:compat>
    <w:compatSetting w:name="compatibilityMode" w:uri="http://schemas.microsoft.com/office/word" w:val="15"/>
  </w:compat>
  <w:rsids>
    <w:rsidRoot w:val="00000000"/>
    <w:rsid w:val="05494F8B"/>
    <w:rsid w:val="0F962D7A"/>
    <w:rsid w:val="21793303"/>
    <w:rsid w:val="22F847D3"/>
    <w:rsid w:val="26A50AD8"/>
    <w:rsid w:val="35691DD3"/>
    <w:rsid w:val="3BED44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pPr>
      <w:ind w:left="1310"/>
    </w:pPr>
    <w:rPr>
      <w:rFonts w:ascii="Times New Roman" w:hAnsi="Times New Roman" w:eastAsia="Times New Roman" w:cs="Times New Roman"/>
      <w:sz w:val="24"/>
      <w:szCs w:val="24"/>
      <w:lang w:val="en-US" w:eastAsia="en-US" w:bidi="ar-SA"/>
    </w:rPr>
  </w:style>
  <w:style w:type="paragraph" w:styleId="11">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2">
    <w:name w:val="Title"/>
    <w:basedOn w:val="1"/>
    <w:next w:val="1"/>
    <w:qFormat/>
    <w:uiPriority w:val="0"/>
    <w:pPr>
      <w:keepNext/>
      <w:keepLines/>
      <w:pageBreakBefore w:val="0"/>
      <w:spacing w:before="480" w:after="120"/>
    </w:pPr>
    <w:rPr>
      <w:b/>
      <w:bCs/>
      <w:sz w:val="72"/>
      <w:szCs w:val="72"/>
    </w:rPr>
  </w:style>
  <w:style w:type="table" w:customStyle="1" w:styleId="13">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Words>299</Words>
  <Characters>1903</Characters>
  <TotalTime>0</TotalTime>
  <ScaleCrop>false</ScaleCrop>
  <LinksUpToDate>false</LinksUpToDate>
  <CharactersWithSpaces>2181</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2026-05-16T07:32:00Z</dcterms:created>
  <dc:creator>razaj</dc:creator>
  <cp:lastModifiedBy>Raza Javaid</cp:lastModifiedBy>
  <dcterms:modified xsi:type="dcterms:W3CDTF">2026-05-17T15:43:03Z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eyJoZGlkIjoiYjgyOTEwYTcxZWQxYzJlMGYwYWI2MTgxN2JiYzA4ZjciLCJ1c2VySWQiOiIxOTQxODkzOTA4Njc2In0=</vt:lpwstr>
  </property>
  <property fmtid="{D5CDD505-2E9C-101B-9397-08002B2CF9AE}" pid="3" name="KSOProductBuildVer">
    <vt:lpwstr>1033-12.1.0.26372</vt:lpwstr>
  </property>
  <property fmtid="{D5CDD505-2E9C-101B-9397-08002B2CF9AE}" pid="4" name="ICV">
    <vt:lpwstr>AE15551FA2D84685A2BC85D6588D37B1_12</vt:lpwstr>
  </property>
</Properties>
</file>