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41CAC">
      <w:pPr>
        <w:spacing w:line="240" w:lineRule="auto"/>
        <w:jc w:val="center"/>
        <w:rPr>
          <w:rFonts w:hint="default" w:ascii="Calibri" w:hAnsi="Calibri" w:cs="Calibri"/>
          <w:color w:val="0070C0"/>
          <w:lang w:val="en-US"/>
        </w:rPr>
      </w:pPr>
      <w:r>
        <w:rPr>
          <w:rFonts w:hint="default" w:ascii="Calibri" w:hAnsi="Calibri" w:cs="Calibri"/>
          <w:color w:val="0070C0"/>
          <w:lang w:val="en-US"/>
        </w:rPr>
        <w:drawing>
          <wp:inline distT="0" distB="0" distL="114300" distR="114300">
            <wp:extent cx="4762500" cy="4762500"/>
            <wp:effectExtent l="0" t="0" r="0" b="0"/>
            <wp:docPr id="94" name="Picture 94" descr="WhatsApp Image 2026-03-04 at 11.16.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WhatsApp Image 2026-03-04 at 11.16.3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0A9B8E0">
      <w:pPr>
        <w:spacing w:line="240" w:lineRule="auto"/>
        <w:jc w:val="center"/>
        <w:rPr>
          <w:rFonts w:hint="default" w:ascii="Calibri" w:hAnsi="Calibri" w:cs="Calibri"/>
          <w:color w:val="0070C0"/>
          <w:lang w:val="en-US"/>
        </w:rPr>
      </w:pPr>
    </w:p>
    <w:p w14:paraId="06E32097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jc w:val="center"/>
        <w:rPr>
          <w:rFonts w:hint="default" w:ascii="Calibri" w:hAnsi="Calibri" w:eastAsia="Arial" w:cs="Calibri"/>
          <w:color w:val="0B5FD1"/>
          <w:sz w:val="56"/>
          <w:szCs w:val="56"/>
        </w:rPr>
      </w:pPr>
      <w:bookmarkStart w:id="0" w:name="_Toc5460"/>
      <w:r>
        <w:rPr>
          <w:rFonts w:hint="default" w:ascii="Calibri" w:hAnsi="Calibri" w:eastAsia="Arial" w:cs="Calibri"/>
          <w:color w:val="0B5FD1"/>
          <w:sz w:val="56"/>
          <w:szCs w:val="56"/>
          <w:rtl w:val="0"/>
        </w:rPr>
        <w:t>Cyberster Internship Program</w:t>
      </w:r>
      <w:bookmarkEnd w:id="0"/>
    </w:p>
    <w:p w14:paraId="56324340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jc w:val="center"/>
        <w:rPr>
          <w:rFonts w:hint="default" w:ascii="Calibri" w:hAnsi="Calibri" w:eastAsia="Arial" w:cs="Calibri"/>
          <w:color w:val="0B5FD1"/>
          <w:sz w:val="56"/>
          <w:szCs w:val="56"/>
        </w:rPr>
      </w:pPr>
      <w:bookmarkStart w:id="1" w:name="_Toc18102"/>
      <w:r>
        <w:rPr>
          <w:rFonts w:hint="default" w:ascii="Calibri" w:hAnsi="Calibri" w:eastAsia="Arial" w:cs="Calibri"/>
          <w:color w:val="0B5FD1"/>
          <w:sz w:val="56"/>
          <w:szCs w:val="56"/>
          <w:rtl w:val="0"/>
        </w:rPr>
        <w:t>Internship Report</w:t>
      </w:r>
      <w:bookmarkEnd w:id="1"/>
    </w:p>
    <w:p w14:paraId="14337C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jc w:val="center"/>
        <w:rPr>
          <w:rFonts w:hint="default" w:ascii="Calibri" w:hAnsi="Calibri" w:eastAsia="Arial" w:cs="Calibri"/>
          <w:color w:val="1F1F1F"/>
          <w:sz w:val="28"/>
          <w:szCs w:val="28"/>
        </w:rPr>
      </w:pP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</w:rPr>
        <w:t>TRACK:</w:t>
      </w:r>
      <w:r>
        <w:rPr>
          <w:rFonts w:hint="default" w:ascii="Calibri" w:hAnsi="Calibri" w:eastAsia="Arial" w:cs="Calibri"/>
          <w:color w:val="1F1F1F"/>
          <w:sz w:val="28"/>
          <w:szCs w:val="28"/>
          <w:rtl w:val="0"/>
        </w:rPr>
        <w:t xml:space="preserve"> BLUE TEAM</w:t>
      </w:r>
    </w:p>
    <w:p w14:paraId="0CCB55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jc w:val="center"/>
        <w:rPr>
          <w:rFonts w:hint="default" w:ascii="Calibri" w:hAnsi="Calibri" w:eastAsia="Arial" w:cs="Calibri"/>
          <w:color w:val="1F1F1F"/>
          <w:sz w:val="28"/>
          <w:szCs w:val="28"/>
          <w:rtl w:val="0"/>
        </w:rPr>
      </w:pP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</w:rPr>
        <w:t>NAME:</w:t>
      </w:r>
      <w:r>
        <w:rPr>
          <w:rFonts w:hint="default" w:ascii="Calibri" w:hAnsi="Calibri" w:eastAsia="Arial" w:cs="Calibri"/>
          <w:color w:val="1F1F1F"/>
          <w:sz w:val="28"/>
          <w:szCs w:val="28"/>
          <w:rtl w:val="0"/>
        </w:rPr>
        <w:t xml:space="preserve"> MUHAMMAD RAZA</w:t>
      </w:r>
    </w:p>
    <w:p w14:paraId="040E9B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jc w:val="center"/>
        <w:rPr>
          <w:rFonts w:hint="default" w:ascii="Calibri" w:hAnsi="Calibri" w:eastAsia="Arial" w:cs="Calibri"/>
          <w:color w:val="1F1F1F"/>
          <w:sz w:val="28"/>
          <w:szCs w:val="28"/>
          <w:rtl w:val="0"/>
          <w:lang w:val="en-US"/>
        </w:rPr>
      </w:pPr>
      <w:r>
        <w:rPr>
          <w:rFonts w:hint="default" w:ascii="Calibri" w:hAnsi="Calibri" w:cs="Calibri"/>
          <w:b/>
          <w:bCs/>
          <w:color w:val="1F1F1F"/>
          <w:sz w:val="28"/>
          <w:szCs w:val="28"/>
          <w:rtl w:val="0"/>
          <w:lang w:val="en-US"/>
        </w:rPr>
        <w:t>INSTRUCTOR</w:t>
      </w: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</w:rPr>
        <w:t>:</w:t>
      </w:r>
      <w:r>
        <w:rPr>
          <w:rFonts w:hint="default" w:ascii="Calibri" w:hAnsi="Calibri" w:eastAsia="Arial" w:cs="Calibri"/>
          <w:color w:val="1F1F1F"/>
          <w:sz w:val="28"/>
          <w:szCs w:val="28"/>
          <w:rtl w:val="0"/>
        </w:rPr>
        <w:t xml:space="preserve"> </w:t>
      </w:r>
      <w:r>
        <w:rPr>
          <w:rFonts w:hint="default" w:ascii="Calibri" w:hAnsi="Calibri" w:cs="Calibri"/>
          <w:color w:val="1F1F1F"/>
          <w:sz w:val="28"/>
          <w:szCs w:val="28"/>
          <w:rtl w:val="0"/>
          <w:lang w:val="en-US"/>
        </w:rPr>
        <w:t>ABDULLAH ZIA</w:t>
      </w:r>
    </w:p>
    <w:p w14:paraId="444F2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jc w:val="center"/>
        <w:rPr>
          <w:rFonts w:hint="default" w:ascii="Calibri" w:hAnsi="Calibri" w:eastAsia="Arial" w:cs="Calibri"/>
          <w:color w:val="1F1F1F"/>
          <w:sz w:val="28"/>
          <w:szCs w:val="28"/>
        </w:rPr>
      </w:pP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</w:rPr>
        <w:t>ROLL NUMBER:</w:t>
      </w:r>
      <w:r>
        <w:rPr>
          <w:rFonts w:hint="default" w:ascii="Calibri" w:hAnsi="Calibri" w:eastAsia="Arial" w:cs="Calibri"/>
          <w:color w:val="1F1F1F"/>
          <w:sz w:val="28"/>
          <w:szCs w:val="28"/>
          <w:rtl w:val="0"/>
        </w:rPr>
        <w:t xml:space="preserve"> CSI-B1-121</w:t>
      </w:r>
    </w:p>
    <w:p w14:paraId="285E9A71">
      <w:pPr>
        <w:jc w:val="center"/>
        <w:rPr>
          <w:rFonts w:hint="default" w:ascii="Arial" w:hAnsi="Arial" w:eastAsia="Arial" w:cs="Arial"/>
          <w:sz w:val="28"/>
          <w:szCs w:val="28"/>
        </w:rPr>
      </w:pP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</w:rPr>
        <w:t xml:space="preserve">WEEK </w:t>
      </w: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  <w:lang w:val="en-US"/>
        </w:rPr>
        <w:t>8</w:t>
      </w:r>
      <w:r>
        <w:rPr>
          <w:rFonts w:hint="default" w:ascii="Calibri" w:hAnsi="Calibri" w:eastAsia="Arial" w:cs="Calibri"/>
          <w:b/>
          <w:bCs/>
          <w:color w:val="1F1F1F"/>
          <w:sz w:val="28"/>
          <w:szCs w:val="28"/>
          <w:rtl w:val="0"/>
        </w:rPr>
        <w:t>:</w:t>
      </w:r>
      <w:r>
        <w:rPr>
          <w:rFonts w:hint="default" w:eastAsia="Arial" w:cs="Calibri"/>
          <w:b/>
          <w:bCs/>
          <w:color w:val="1F1F1F"/>
          <w:sz w:val="28"/>
          <w:szCs w:val="28"/>
          <w:rtl w:val="0"/>
          <w:lang w:val="en-US"/>
        </w:rPr>
        <w:t xml:space="preserve"> </w:t>
      </w:r>
      <w:r>
        <w:rPr>
          <w:rFonts w:hint="default" w:ascii="Arial" w:hAnsi="Arial" w:eastAsia="Arial" w:cs="Arial"/>
          <w:sz w:val="28"/>
          <w:szCs w:val="28"/>
        </w:rPr>
        <w:t>Event Logs, Prefetch, Cache, and Recovery Analysis</w:t>
      </w:r>
    </w:p>
    <w:p w14:paraId="16C8721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rPr>
          <w:rFonts w:hint="default" w:ascii="Calibri" w:hAnsi="Calibri" w:eastAsia="Google Sans" w:cs="Calibri"/>
          <w:color w:val="1F1F1F"/>
          <w:rtl w:val="0"/>
        </w:rPr>
      </w:pPr>
    </w:p>
    <w:p w14:paraId="0000000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1. Executive Summary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This report details the forensic triage of a live Windows endpoint to establish a behavioral baseline and identify potential indicators of compromise. By analyzing system artifacts across Days 53–59, we successfully reconstructed the user's authentication history, program execution timeline, and file interaction patterns.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Conclusion: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All analyzed artifacts correlate with legitimate user activity (development, web browsing, and administrative tasks). No malicious execution, unauthorized lateral movement, or anti-forensic behavior was detected during the analysis window.</w:t>
      </w:r>
    </w:p>
    <w:p w14:paraId="000000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2. Methodology &amp; Evidence Integrity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To ensure the defensibility of the investigation, all data collection was performed using elevated Administrator privileges. Evidence was non-destructively copied from live system directories to a segregated C:\Forensics\ working directory.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Integrity Verification: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A SHA-256 hash was generated for the primary Security.evtx log immediately after acquisition to establish a strict chain of custody and prove the evidence remained unmodified during analysis.</w:t>
      </w:r>
    </w:p>
    <w:p w14:paraId="479907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ind w:right="600"/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  <w:drawing>
          <wp:inline distT="0" distB="0" distL="114300" distR="114300">
            <wp:extent cx="5938520" cy="702310"/>
            <wp:effectExtent l="0" t="0" r="5080" b="8890"/>
            <wp:docPr id="1" name="Picture 1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3. Part A: Event Log Analysis (Authentication Auditing)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The Windows Security Event Log (Security.evtx) was parsed into CSV format using Zimmerman's EvtxECmd to isolate human behavior from system noise.</w:t>
      </w: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3.1. Authentication Baseline (Event ID 4624)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By filtering for specific Logon Types, we established the user's active presence: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Logon Type 2 (Interactive) &amp; Type 7 (Unlock):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Activity clustered around early morning (04:12 - 04:56 AM) and evening (08:24 - 09:47 PM), establishing the primary human baseline.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Logon Type 5 (Service):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Identified normal background service authentications attributed to the machine account (WORKGROUP\MARYAM$), successfully filtering out system noise.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3.2. Privilege Escalation Auditing (Event ID 4672)</w:t>
      </w:r>
    </w:p>
    <w:p w14:paraId="0000001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color w:val="1F1F1F"/>
          <w:rtl w:val="0"/>
        </w:rPr>
        <w:t>The primary user account (mrymmughal001@gmail.com) was recorded obtaining special privileges (e.g., SeSecurityPrivilege, SeTakeOwnershipPrivilege, SeBackupPrivilege).</w:t>
      </w:r>
    </w:p>
    <w:p w14:paraId="0000001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Finding: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These escalations align with legitimate administrative actions taken during the forensic collection phase. No unknown or unauthorized accounts acquired admin tokens.</w:t>
      </w:r>
    </w:p>
    <w:p w14:paraId="627AEA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ind w:right="600"/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  <w:drawing>
          <wp:inline distT="0" distB="0" distL="114300" distR="114300">
            <wp:extent cx="5932170" cy="2005330"/>
            <wp:effectExtent l="0" t="0" r="11430" b="1270"/>
            <wp:docPr id="2" name="Picture 2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ctur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4. Part B: Execution Evidence (Prefetch Analysis)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Prefetch files were extracted from C:\Windows\Prefetch and parsed using PECmd. The dataset consisted of 312 .pf files, providing a highly detailed execution history.</w:t>
      </w:r>
    </w:p>
    <w:p w14:paraId="000000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4.1. Execution Inventory &amp; Path Analysis</w:t>
      </w:r>
    </w:p>
    <w:p w14:paraId="0000001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Primary Applications: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Run counts confirm the system is heavily used for development and browsing. Top executed binaries include CHROME.EXE, MSEDGEWEBVIEW2.EXE, and VS Code (CODE.EXE).</w:t>
      </w:r>
    </w:p>
    <w:p w14:paraId="0000001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Suspicious Path Review: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Executions were identified originating from AppData\Local\Temp\ (e.g., _SETUP64.TMP, UNINS000.EXE). Analysis confirms these are legitimate software installers and temporary Python/pip package extractions, not malicious payloads.</w:t>
      </w: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External Media: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Zero executions were detected from USB or removable drives.</w:t>
      </w:r>
    </w:p>
    <w:p w14:paraId="1211FB5F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926455" cy="1862455"/>
            <wp:effectExtent l="0" t="0" r="4445" b="4445"/>
            <wp:docPr id="6" name="Picture 6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ictur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5. Part C: User Activity &amp; Deletion Artifacts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This phase focused on persistent traces of visual media and deleted content.</w:t>
      </w: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5.1. Cache &amp; Thumbcache</w:t>
      </w:r>
    </w:p>
    <w:p w14:paraId="0000002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Thumbcache: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Recovered 15 databases from AppData\Local\Microsoft\Windows\Explorer, ranging from thumbcache_16.db to thumbcache_1280.db. Using Thumbcache Viewer, cached thumbnails (including a Windows wallpaper image) were verified, proving visual interaction with local media.</w:t>
      </w:r>
    </w:p>
    <w:p w14:paraId="0000002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Browser Cache: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Extracted Google Chrome cache (Profile 2). Metadata confirms routine web browsing sessions, with no immediate connections to known malicious infrastructure.</w:t>
      </w:r>
    </w:p>
    <w:p w14:paraId="445BC9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ind w:right="600"/>
        <w:jc w:val="both"/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  <w:drawing>
          <wp:inline distT="0" distB="0" distL="114300" distR="114300">
            <wp:extent cx="5939155" cy="2560955"/>
            <wp:effectExtent l="0" t="0" r="4445" b="4445"/>
            <wp:docPr id="5" name="Picture 5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ictur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5.2. Recycle Bin Analysis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Analysis of the C:\$Recycle.Bin directory for the active user SID (S-1-5-21-...-1001) yielded significant deleted file artifacts.</w:t>
      </w:r>
    </w:p>
    <w:p w14:paraId="0000002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Finding: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Successfully recovered both metadata ($I) and content ($R) files.</w:t>
      </w:r>
    </w:p>
    <w:p w14:paraId="0000002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ind w:left="465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Deleted File Types: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Evidence confirms the recent deletion of executables (.exe), archives (.zip), documents (.docx), and images (.png).</w:t>
      </w:r>
    </w:p>
    <w:p w14:paraId="76C09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ind w:right="600"/>
        <w:jc w:val="center"/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  <w:drawing>
          <wp:inline distT="0" distB="0" distL="114300" distR="114300">
            <wp:extent cx="5935980" cy="1806575"/>
            <wp:effectExtent l="0" t="0" r="0" b="0"/>
            <wp:docPr id="3" name="Picture 3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1"/>
                    <pic:cNvPicPr>
                      <a:picLocks noChangeAspect="1"/>
                    </pic:cNvPicPr>
                  </pic:nvPicPr>
                  <pic:blipFill>
                    <a:blip r:embed="rId9"/>
                    <a:srcRect t="14556" b="376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C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40" w:lineRule="auto"/>
        <w:ind w:right="600"/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  <w:lang w:val="en-US"/>
        </w:rPr>
        <w:drawing>
          <wp:inline distT="0" distB="0" distL="114300" distR="114300">
            <wp:extent cx="5936615" cy="5565775"/>
            <wp:effectExtent l="0" t="0" r="6985" b="9525"/>
            <wp:docPr id="4" name="Picture 4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cture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40" w:lineRule="auto"/>
        <w:rPr>
          <w:rFonts w:hint="default" w:ascii="Calibri" w:hAnsi="Calibri" w:eastAsia="Google Sans" w:cs="Calibri"/>
          <w:color w:val="0070C0"/>
        </w:rPr>
      </w:pPr>
      <w:r>
        <w:rPr>
          <w:rFonts w:hint="default" w:ascii="Calibri" w:hAnsi="Calibri" w:eastAsia="Google Sans" w:cs="Calibri"/>
          <w:color w:val="0070C0"/>
          <w:rtl w:val="0"/>
        </w:rPr>
        <w:t>6. Cross-Artifact Correlation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The integrity of the investigation is validated by cross-referencing the three artifact categories:</w:t>
      </w:r>
    </w:p>
    <w:p w14:paraId="0000002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40" w:lineRule="auto"/>
        <w:ind w:left="48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Authentication to Execution: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Interactive logons (Event ID 4624) directly precede the execution timestamps of VS Code and Chrome (Prefetch timeline).</w:t>
      </w:r>
    </w:p>
    <w:p w14:paraId="0000002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40" w:lineRule="auto"/>
        <w:ind w:left="48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Execution to File Interaction: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Execution of development environments and browsers correlates with the creation of Python temp files, Chrome cache generation, and the eventual deletion of project files (Recycle Bin $I/$R records).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40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The overlapping timelines present a unified, consistent narrative of standard administrative and development usage with zero conflicting anomalies.</w:t>
      </w:r>
    </w:p>
    <w:sectPr>
      <w:pgSz w:w="12240" w:h="15840"/>
      <w:pgMar w:top="1440" w:right="1440" w:bottom="1440" w:left="1440" w:header="0" w:footer="720" w:gutter="0"/>
      <w:pgBorders>
        <w:top w:val="single" w:color="0070C0" w:sz="12" w:space="1"/>
        <w:left w:val="single" w:color="0070C0" w:sz="12" w:space="4"/>
        <w:bottom w:val="single" w:color="0070C0" w:sz="12" w:space="1"/>
        <w:right w:val="single" w:color="0070C0" w:sz="12" w:space="4"/>
      </w:pgBorders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86F4D83-DDB6-4769-819D-80B563A7E9E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E14B7C0-176C-4ED9-8E62-A982981A9A8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5D7A7AE-36CE-4C97-A2C0-38F4B67E808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11443E1-AA2D-46D6-AB0C-AFF092B0808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D998F6DA-1A5B-4F7E-98AA-5EBDA2408292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976793E-54F7-4B7B-92A2-957601EE75D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5313678"/>
    <w:rsid w:val="21867A08"/>
    <w:rsid w:val="2948373D"/>
    <w:rsid w:val="4B431E1B"/>
    <w:rsid w:val="547F3EF3"/>
    <w:rsid w:val="581B113F"/>
    <w:rsid w:val="5F1C0E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612</Words>
  <Characters>4132</Characters>
  <TotalTime>1</TotalTime>
  <ScaleCrop>false</ScaleCrop>
  <LinksUpToDate>false</LinksUpToDate>
  <CharactersWithSpaces>4702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2026-05-01T19:03:00Z</dcterms:created>
  <dc:creator>razaj</dc:creator>
  <cp:lastModifiedBy>Raza Javaid</cp:lastModifiedBy>
  <dcterms:modified xsi:type="dcterms:W3CDTF">2026-05-01T19:19:52Z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eyJoZGlkIjoiYjgyOTEwYTcxZWQxYzJlMGYwYWI2MTgxN2JiYzA4ZjciLCJ1c2VySWQiOiIxOTQxODkzOTA4Njc2In0=</vt:lpwstr>
  </property>
  <property fmtid="{D5CDD505-2E9C-101B-9397-08002B2CF9AE}" pid="3" name="KSOProductBuildVer">
    <vt:lpwstr>1033-12.1.0.25242</vt:lpwstr>
  </property>
  <property fmtid="{D5CDD505-2E9C-101B-9397-08002B2CF9AE}" pid="4" name="ICV">
    <vt:lpwstr>84B4B0EC4B9F4E5FAB7FEB23670ED419_12</vt:lpwstr>
  </property>
</Properties>
</file>