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EE55F">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Arial" w:cs="Calibri"/>
          <w:color w:val="1F1F1F"/>
          <w:sz w:val="56"/>
          <w:szCs w:val="56"/>
          <w:rtl w:val="0"/>
          <w:lang w:val="en-US"/>
        </w:rPr>
      </w:pPr>
      <w:bookmarkStart w:id="0" w:name="_Toc3944"/>
      <w:r>
        <w:rPr>
          <w:rFonts w:hint="default" w:ascii="Calibri" w:hAnsi="Calibri" w:eastAsia="Arial" w:cs="Calibri"/>
          <w:color w:val="1F1F1F"/>
          <w:sz w:val="56"/>
          <w:szCs w:val="56"/>
          <w:rtl w:val="0"/>
          <w:lang w:val="en-US"/>
        </w:rPr>
        <w:drawing>
          <wp:inline distT="0" distB="0" distL="114300" distR="114300">
            <wp:extent cx="4312920" cy="4312920"/>
            <wp:effectExtent l="0" t="0" r="5080" b="5080"/>
            <wp:docPr id="1" name="Picture 1"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04 at 11.16.35 PM"/>
                    <pic:cNvPicPr>
                      <a:picLocks noChangeAspect="1"/>
                    </pic:cNvPicPr>
                  </pic:nvPicPr>
                  <pic:blipFill>
                    <a:blip r:embed="rId4"/>
                    <a:stretch>
                      <a:fillRect/>
                    </a:stretch>
                  </pic:blipFill>
                  <pic:spPr>
                    <a:xfrm>
                      <a:off x="0" y="0"/>
                      <a:ext cx="4312920" cy="4312920"/>
                    </a:xfrm>
                    <a:prstGeom prst="rect">
                      <a:avLst/>
                    </a:prstGeom>
                  </pic:spPr>
                </pic:pic>
              </a:graphicData>
            </a:graphic>
          </wp:inline>
        </w:drawing>
      </w:r>
      <w:bookmarkEnd w:id="0"/>
    </w:p>
    <w:p w14:paraId="00000002">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Arial" w:cs="Calibri"/>
          <w:color w:val="0B5FD1"/>
          <w:sz w:val="56"/>
          <w:szCs w:val="56"/>
        </w:rPr>
      </w:pPr>
      <w:bookmarkStart w:id="1" w:name="_Toc5460"/>
      <w:r>
        <w:rPr>
          <w:rFonts w:hint="default" w:ascii="Calibri" w:hAnsi="Calibri" w:eastAsia="Arial" w:cs="Calibri"/>
          <w:color w:val="0B5FD1"/>
          <w:sz w:val="56"/>
          <w:szCs w:val="56"/>
          <w:rtl w:val="0"/>
        </w:rPr>
        <w:t>Cyberster Internship Program</w:t>
      </w:r>
      <w:bookmarkEnd w:id="1"/>
    </w:p>
    <w:p w14:paraId="00000003">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Arial" w:cs="Calibri"/>
          <w:color w:val="0B5FD1"/>
          <w:sz w:val="56"/>
          <w:szCs w:val="56"/>
        </w:rPr>
      </w:pPr>
      <w:bookmarkStart w:id="2" w:name="_Toc18102"/>
      <w:r>
        <w:rPr>
          <w:rFonts w:hint="default" w:ascii="Calibri" w:hAnsi="Calibri" w:eastAsia="Arial" w:cs="Calibri"/>
          <w:color w:val="0B5FD1"/>
          <w:sz w:val="56"/>
          <w:szCs w:val="56"/>
          <w:rtl w:val="0"/>
        </w:rPr>
        <w:t>Internship Report</w:t>
      </w:r>
      <w:bookmarkEnd w:id="2"/>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TRACK:</w:t>
      </w:r>
      <w:r>
        <w:rPr>
          <w:rFonts w:hint="default" w:ascii="Calibri" w:hAnsi="Calibri" w:eastAsia="Arial" w:cs="Calibri"/>
          <w:color w:val="1F1F1F"/>
          <w:sz w:val="28"/>
          <w:szCs w:val="28"/>
          <w:rtl w:val="0"/>
        </w:rPr>
        <w:t xml:space="preserve"> BLUE TEAM</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NAME:</w:t>
      </w:r>
      <w:r>
        <w:rPr>
          <w:rFonts w:hint="default" w:ascii="Calibri" w:hAnsi="Calibri" w:eastAsia="Arial" w:cs="Calibri"/>
          <w:color w:val="1F1F1F"/>
          <w:sz w:val="28"/>
          <w:szCs w:val="28"/>
          <w:rtl w:val="0"/>
        </w:rPr>
        <w:t xml:space="preserve"> MUHAMMAD RAZA</w:t>
      </w:r>
    </w:p>
    <w:p w14:paraId="65C486D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cs="Calibri"/>
          <w:b/>
          <w:bCs/>
          <w:color w:val="1F1F1F"/>
          <w:sz w:val="28"/>
          <w:szCs w:val="28"/>
          <w:rtl w:val="0"/>
          <w:lang w:val="en-US"/>
        </w:rPr>
        <w:t>INSTRUCTOR</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cs="Calibri"/>
          <w:color w:val="1F1F1F"/>
          <w:sz w:val="28"/>
          <w:szCs w:val="28"/>
          <w:rtl w:val="0"/>
          <w:lang w:val="en-US"/>
        </w:rPr>
        <w:t>ABDULLAH ZIA</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ROLL NUMBER:</w:t>
      </w:r>
      <w:r>
        <w:rPr>
          <w:rFonts w:hint="default" w:ascii="Calibri" w:hAnsi="Calibri" w:eastAsia="Arial" w:cs="Calibri"/>
          <w:color w:val="1F1F1F"/>
          <w:sz w:val="28"/>
          <w:szCs w:val="28"/>
          <w:rtl w:val="0"/>
        </w:rPr>
        <w:t xml:space="preserve"> CSI-B1-121</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WEEK 3:</w:t>
      </w:r>
      <w:r>
        <w:rPr>
          <w:rFonts w:hint="default" w:ascii="Calibri" w:hAnsi="Calibri" w:eastAsia="Arial" w:cs="Calibri"/>
          <w:color w:val="1F1F1F"/>
          <w:sz w:val="28"/>
          <w:szCs w:val="28"/>
          <w:rtl w:val="0"/>
        </w:rPr>
        <w:t xml:space="preserve"> SURICATA IDS INTEGRATION WITH WAZUH</w:t>
      </w:r>
    </w:p>
    <w:p w14:paraId="5105ADE2">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lang w:val="en-US"/>
        </w:rPr>
      </w:pPr>
      <w:r>
        <w:rPr>
          <w:rFonts w:hint="default" w:ascii="Calibri" w:hAnsi="Calibri" w:cs="Calibri"/>
          <w:color w:val="0B5FD1"/>
          <w:sz w:val="44"/>
          <w:szCs w:val="44"/>
          <w:rtl w:val="0"/>
          <w:lang w:val="en-US"/>
        </w:rPr>
        <w:t>TABLE OF CONTENTS</w:t>
      </w:r>
      <w:r>
        <w:fldChar w:fldCharType="begin"/>
      </w:r>
      <w:r>
        <w:instrText xml:space="preserve">TOC \o "1-3" \h \u </w:instrText>
      </w:r>
      <w:r>
        <w:fldChar w:fldCharType="separate"/>
      </w:r>
    </w:p>
    <w:p w14:paraId="120BE858">
      <w:pPr>
        <w:pStyle w:val="13"/>
        <w:tabs>
          <w:tab w:val="right" w:leader="underscore" w:pos="9360"/>
        </w:tabs>
      </w:pPr>
    </w:p>
    <w:p w14:paraId="4339DF71">
      <w:pPr>
        <w:pStyle w:val="13"/>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_Toc18965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60"/>
          <w:rtl w:val="0"/>
        </w:rPr>
        <w:t>Overview</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_Toc18965 \h </w:instrText>
      </w:r>
      <w:r>
        <w:rPr>
          <w:color w:val="376092" w:themeColor="accent1" w:themeShade="BF"/>
          <w:sz w:val="36"/>
          <w:szCs w:val="36"/>
        </w:rPr>
        <w:fldChar w:fldCharType="separate"/>
      </w:r>
      <w:r>
        <w:rPr>
          <w:color w:val="376092" w:themeColor="accent1" w:themeShade="BF"/>
          <w:sz w:val="36"/>
          <w:szCs w:val="36"/>
        </w:rPr>
        <w:t>4</w:t>
      </w:r>
      <w:r>
        <w:rPr>
          <w:color w:val="376092" w:themeColor="accent1" w:themeShade="BF"/>
          <w:sz w:val="36"/>
          <w:szCs w:val="36"/>
        </w:rPr>
        <w:fldChar w:fldCharType="end"/>
      </w:r>
      <w:r>
        <w:rPr>
          <w:color w:val="376092" w:themeColor="accent1" w:themeShade="BF"/>
          <w:sz w:val="36"/>
          <w:szCs w:val="36"/>
        </w:rPr>
        <w:fldChar w:fldCharType="end"/>
      </w:r>
    </w:p>
    <w:p w14:paraId="65F536B4">
      <w:pPr>
        <w:pStyle w:val="13"/>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_Toc5783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60"/>
          <w:rtl w:val="0"/>
        </w:rPr>
        <w:t>Days 15 and 16 — Suricata Installation and Configuration</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_Toc5783 \h </w:instrText>
      </w:r>
      <w:r>
        <w:rPr>
          <w:color w:val="376092" w:themeColor="accent1" w:themeShade="BF"/>
          <w:sz w:val="36"/>
          <w:szCs w:val="36"/>
        </w:rPr>
        <w:fldChar w:fldCharType="separate"/>
      </w:r>
      <w:r>
        <w:rPr>
          <w:color w:val="376092" w:themeColor="accent1" w:themeShade="BF"/>
          <w:sz w:val="36"/>
          <w:szCs w:val="36"/>
        </w:rPr>
        <w:t>4</w:t>
      </w:r>
      <w:r>
        <w:rPr>
          <w:color w:val="376092" w:themeColor="accent1" w:themeShade="BF"/>
          <w:sz w:val="36"/>
          <w:szCs w:val="36"/>
        </w:rPr>
        <w:fldChar w:fldCharType="end"/>
      </w:r>
      <w:r>
        <w:rPr>
          <w:color w:val="376092" w:themeColor="accent1" w:themeShade="BF"/>
          <w:sz w:val="36"/>
          <w:szCs w:val="36"/>
        </w:rPr>
        <w:fldChar w:fldCharType="end"/>
      </w:r>
    </w:p>
    <w:p w14:paraId="419B1AB8">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_Toc5538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Conceptual Foundations</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_Toc5538 \h </w:instrText>
      </w:r>
      <w:r>
        <w:rPr>
          <w:color w:val="376092" w:themeColor="accent1" w:themeShade="BF"/>
          <w:sz w:val="36"/>
          <w:szCs w:val="36"/>
        </w:rPr>
        <w:fldChar w:fldCharType="separate"/>
      </w:r>
      <w:r>
        <w:rPr>
          <w:color w:val="376092" w:themeColor="accent1" w:themeShade="BF"/>
          <w:sz w:val="36"/>
          <w:szCs w:val="36"/>
        </w:rPr>
        <w:t>4</w:t>
      </w:r>
      <w:r>
        <w:rPr>
          <w:color w:val="376092" w:themeColor="accent1" w:themeShade="BF"/>
          <w:sz w:val="36"/>
          <w:szCs w:val="36"/>
        </w:rPr>
        <w:fldChar w:fldCharType="end"/>
      </w:r>
      <w:r>
        <w:rPr>
          <w:color w:val="376092" w:themeColor="accent1" w:themeShade="BF"/>
          <w:sz w:val="36"/>
          <w:szCs w:val="36"/>
        </w:rPr>
        <w:fldChar w:fldCharType="end"/>
      </w:r>
    </w:p>
    <w:p w14:paraId="327E7DF2">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_Toc29051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Installation and Network Configuration</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_Toc29051 \h </w:instrText>
      </w:r>
      <w:r>
        <w:rPr>
          <w:color w:val="376092" w:themeColor="accent1" w:themeShade="BF"/>
          <w:sz w:val="36"/>
          <w:szCs w:val="36"/>
        </w:rPr>
        <w:fldChar w:fldCharType="separate"/>
      </w:r>
      <w:r>
        <w:rPr>
          <w:color w:val="376092" w:themeColor="accent1" w:themeShade="BF"/>
          <w:sz w:val="36"/>
          <w:szCs w:val="36"/>
        </w:rPr>
        <w:t>5</w:t>
      </w:r>
      <w:r>
        <w:rPr>
          <w:color w:val="376092" w:themeColor="accent1" w:themeShade="BF"/>
          <w:sz w:val="36"/>
          <w:szCs w:val="36"/>
        </w:rPr>
        <w:fldChar w:fldCharType="end"/>
      </w:r>
      <w:r>
        <w:rPr>
          <w:color w:val="376092" w:themeColor="accent1" w:themeShade="BF"/>
          <w:sz w:val="36"/>
          <w:szCs w:val="36"/>
        </w:rPr>
        <w:fldChar w:fldCharType="end"/>
      </w:r>
    </w:p>
    <w:p w14:paraId="7867997D">
      <w:pPr>
        <w:pStyle w:val="13"/>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_Toc32498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60"/>
          <w:rtl w:val="0"/>
        </w:rPr>
        <w:t>Day 17 — Suricata Rule Writing</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_Toc32498 \h </w:instrText>
      </w:r>
      <w:r>
        <w:rPr>
          <w:color w:val="376092" w:themeColor="accent1" w:themeShade="BF"/>
          <w:sz w:val="36"/>
          <w:szCs w:val="36"/>
        </w:rPr>
        <w:fldChar w:fldCharType="separate"/>
      </w:r>
      <w:r>
        <w:rPr>
          <w:color w:val="376092" w:themeColor="accent1" w:themeShade="BF"/>
          <w:sz w:val="36"/>
          <w:szCs w:val="36"/>
        </w:rPr>
        <w:t>6</w:t>
      </w:r>
      <w:r>
        <w:rPr>
          <w:color w:val="376092" w:themeColor="accent1" w:themeShade="BF"/>
          <w:sz w:val="36"/>
          <w:szCs w:val="36"/>
        </w:rPr>
        <w:fldChar w:fldCharType="end"/>
      </w:r>
      <w:r>
        <w:rPr>
          <w:color w:val="376092" w:themeColor="accent1" w:themeShade="BF"/>
          <w:sz w:val="36"/>
          <w:szCs w:val="36"/>
        </w:rPr>
        <w:fldChar w:fldCharType="end"/>
      </w:r>
    </w:p>
    <w:p w14:paraId="3371465B">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_Toc12218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Rule Engineering</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_Toc12218 \h </w:instrText>
      </w:r>
      <w:r>
        <w:rPr>
          <w:color w:val="376092" w:themeColor="accent1" w:themeShade="BF"/>
          <w:sz w:val="36"/>
          <w:szCs w:val="36"/>
        </w:rPr>
        <w:fldChar w:fldCharType="separate"/>
      </w:r>
      <w:r>
        <w:rPr>
          <w:color w:val="376092" w:themeColor="accent1" w:themeShade="BF"/>
          <w:sz w:val="36"/>
          <w:szCs w:val="36"/>
        </w:rPr>
        <w:t>6</w:t>
      </w:r>
      <w:r>
        <w:rPr>
          <w:color w:val="376092" w:themeColor="accent1" w:themeShade="BF"/>
          <w:sz w:val="36"/>
          <w:szCs w:val="36"/>
        </w:rPr>
        <w:fldChar w:fldCharType="end"/>
      </w:r>
      <w:r>
        <w:rPr>
          <w:color w:val="376092" w:themeColor="accent1" w:themeShade="BF"/>
          <w:sz w:val="36"/>
          <w:szCs w:val="36"/>
        </w:rPr>
        <w:fldChar w:fldCharType="end"/>
      </w:r>
    </w:p>
    <w:p w14:paraId="0CF7834E">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_Toc7502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Threat Execution and Alert Verification</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_Toc7502 \h </w:instrText>
      </w:r>
      <w:r>
        <w:rPr>
          <w:color w:val="376092" w:themeColor="accent1" w:themeShade="BF"/>
          <w:sz w:val="36"/>
          <w:szCs w:val="36"/>
        </w:rPr>
        <w:fldChar w:fldCharType="separate"/>
      </w:r>
      <w:r>
        <w:rPr>
          <w:color w:val="376092" w:themeColor="accent1" w:themeShade="BF"/>
          <w:sz w:val="36"/>
          <w:szCs w:val="36"/>
        </w:rPr>
        <w:t>8</w:t>
      </w:r>
      <w:r>
        <w:rPr>
          <w:color w:val="376092" w:themeColor="accent1" w:themeShade="BF"/>
          <w:sz w:val="36"/>
          <w:szCs w:val="36"/>
        </w:rPr>
        <w:fldChar w:fldCharType="end"/>
      </w:r>
      <w:r>
        <w:rPr>
          <w:color w:val="376092" w:themeColor="accent1" w:themeShade="BF"/>
          <w:sz w:val="36"/>
          <w:szCs w:val="36"/>
        </w:rPr>
        <w:fldChar w:fldCharType="end"/>
      </w:r>
    </w:p>
    <w:p w14:paraId="4817B10A">
      <w:pPr>
        <w:pStyle w:val="13"/>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_Toc29310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60"/>
          <w:rtl w:val="0"/>
        </w:rPr>
        <w:t>Days 18 and 19 — Suricata and Wazuh Integration</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_Toc29310 \h </w:instrText>
      </w:r>
      <w:r>
        <w:rPr>
          <w:color w:val="376092" w:themeColor="accent1" w:themeShade="BF"/>
          <w:sz w:val="36"/>
          <w:szCs w:val="36"/>
        </w:rPr>
        <w:fldChar w:fldCharType="separate"/>
      </w:r>
      <w:r>
        <w:rPr>
          <w:color w:val="376092" w:themeColor="accent1" w:themeShade="BF"/>
          <w:sz w:val="36"/>
          <w:szCs w:val="36"/>
        </w:rPr>
        <w:t>9</w:t>
      </w:r>
      <w:r>
        <w:rPr>
          <w:color w:val="376092" w:themeColor="accent1" w:themeShade="BF"/>
          <w:sz w:val="36"/>
          <w:szCs w:val="36"/>
        </w:rPr>
        <w:fldChar w:fldCharType="end"/>
      </w:r>
      <w:r>
        <w:rPr>
          <w:color w:val="376092" w:themeColor="accent1" w:themeShade="BF"/>
          <w:sz w:val="36"/>
          <w:szCs w:val="36"/>
        </w:rPr>
        <w:fldChar w:fldCharType="end"/>
      </w:r>
    </w:p>
    <w:p w14:paraId="5972AAF1">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_Toc22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Log Forwarding and Troubleshooting</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_Toc22 \h </w:instrText>
      </w:r>
      <w:r>
        <w:rPr>
          <w:color w:val="376092" w:themeColor="accent1" w:themeShade="BF"/>
          <w:sz w:val="36"/>
          <w:szCs w:val="36"/>
        </w:rPr>
        <w:fldChar w:fldCharType="separate"/>
      </w:r>
      <w:r>
        <w:rPr>
          <w:color w:val="376092" w:themeColor="accent1" w:themeShade="BF"/>
          <w:sz w:val="36"/>
          <w:szCs w:val="36"/>
        </w:rPr>
        <w:t>9</w:t>
      </w:r>
      <w:r>
        <w:rPr>
          <w:color w:val="376092" w:themeColor="accent1" w:themeShade="BF"/>
          <w:sz w:val="36"/>
          <w:szCs w:val="36"/>
        </w:rPr>
        <w:fldChar w:fldCharType="end"/>
      </w:r>
      <w:r>
        <w:rPr>
          <w:color w:val="376092" w:themeColor="accent1" w:themeShade="BF"/>
          <w:sz w:val="36"/>
          <w:szCs w:val="36"/>
        </w:rPr>
        <w:fldChar w:fldCharType="end"/>
      </w:r>
    </w:p>
    <w:p w14:paraId="09C3F44C">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_Toc15106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Dashboard Verification</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_Toc15106 \h </w:instrText>
      </w:r>
      <w:r>
        <w:rPr>
          <w:color w:val="376092" w:themeColor="accent1" w:themeShade="BF"/>
          <w:sz w:val="36"/>
          <w:szCs w:val="36"/>
        </w:rPr>
        <w:fldChar w:fldCharType="separate"/>
      </w:r>
      <w:r>
        <w:rPr>
          <w:color w:val="376092" w:themeColor="accent1" w:themeShade="BF"/>
          <w:sz w:val="36"/>
          <w:szCs w:val="36"/>
        </w:rPr>
        <w:t>11</w:t>
      </w:r>
      <w:r>
        <w:rPr>
          <w:color w:val="376092" w:themeColor="accent1" w:themeShade="BF"/>
          <w:sz w:val="36"/>
          <w:szCs w:val="36"/>
        </w:rPr>
        <w:fldChar w:fldCharType="end"/>
      </w:r>
      <w:r>
        <w:rPr>
          <w:color w:val="376092" w:themeColor="accent1" w:themeShade="BF"/>
          <w:sz w:val="36"/>
          <w:szCs w:val="36"/>
        </w:rPr>
        <w:fldChar w:fldCharType="end"/>
      </w:r>
    </w:p>
    <w:p w14:paraId="2F2F51E4">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_Toc32144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Event Correlation Analysis</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_Toc32144 \h </w:instrText>
      </w:r>
      <w:r>
        <w:rPr>
          <w:color w:val="376092" w:themeColor="accent1" w:themeShade="BF"/>
          <w:sz w:val="36"/>
          <w:szCs w:val="36"/>
        </w:rPr>
        <w:fldChar w:fldCharType="separate"/>
      </w:r>
      <w:r>
        <w:rPr>
          <w:color w:val="376092" w:themeColor="accent1" w:themeShade="BF"/>
          <w:sz w:val="36"/>
          <w:szCs w:val="36"/>
        </w:rPr>
        <w:t>12</w:t>
      </w:r>
      <w:r>
        <w:rPr>
          <w:color w:val="376092" w:themeColor="accent1" w:themeShade="BF"/>
          <w:sz w:val="36"/>
          <w:szCs w:val="36"/>
        </w:rPr>
        <w:fldChar w:fldCharType="end"/>
      </w:r>
      <w:r>
        <w:rPr>
          <w:color w:val="376092" w:themeColor="accent1" w:themeShade="BF"/>
          <w:sz w:val="36"/>
          <w:szCs w:val="36"/>
        </w:rPr>
        <w:fldChar w:fldCharType="end"/>
      </w:r>
    </w:p>
    <w:p w14:paraId="54FEEE8C">
      <w:pPr>
        <w:pStyle w:val="13"/>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_Toc16547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60"/>
          <w:rtl w:val="0"/>
        </w:rPr>
        <w:t>Days 20 and 21 — GeoIP Blocking and Firewall Rules</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_Toc16547 \h </w:instrText>
      </w:r>
      <w:r>
        <w:rPr>
          <w:color w:val="376092" w:themeColor="accent1" w:themeShade="BF"/>
          <w:sz w:val="36"/>
          <w:szCs w:val="36"/>
        </w:rPr>
        <w:fldChar w:fldCharType="separate"/>
      </w:r>
      <w:r>
        <w:rPr>
          <w:color w:val="376092" w:themeColor="accent1" w:themeShade="BF"/>
          <w:sz w:val="36"/>
          <w:szCs w:val="36"/>
        </w:rPr>
        <w:t>13</w:t>
      </w:r>
      <w:r>
        <w:rPr>
          <w:color w:val="376092" w:themeColor="accent1" w:themeShade="BF"/>
          <w:sz w:val="36"/>
          <w:szCs w:val="36"/>
        </w:rPr>
        <w:fldChar w:fldCharType="end"/>
      </w:r>
      <w:r>
        <w:rPr>
          <w:color w:val="376092" w:themeColor="accent1" w:themeShade="BF"/>
          <w:sz w:val="36"/>
          <w:szCs w:val="36"/>
        </w:rPr>
        <w:fldChar w:fldCharType="end"/>
      </w:r>
    </w:p>
    <w:p w14:paraId="7F6468F8">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_Toc26919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Implementing GeoIP Restrictions</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_Toc26919 \h </w:instrText>
      </w:r>
      <w:r>
        <w:rPr>
          <w:color w:val="376092" w:themeColor="accent1" w:themeShade="BF"/>
          <w:sz w:val="36"/>
          <w:szCs w:val="36"/>
        </w:rPr>
        <w:fldChar w:fldCharType="separate"/>
      </w:r>
      <w:r>
        <w:rPr>
          <w:color w:val="376092" w:themeColor="accent1" w:themeShade="BF"/>
          <w:sz w:val="36"/>
          <w:szCs w:val="36"/>
        </w:rPr>
        <w:t>13</w:t>
      </w:r>
      <w:r>
        <w:rPr>
          <w:color w:val="376092" w:themeColor="accent1" w:themeShade="BF"/>
          <w:sz w:val="36"/>
          <w:szCs w:val="36"/>
        </w:rPr>
        <w:fldChar w:fldCharType="end"/>
      </w:r>
      <w:r>
        <w:rPr>
          <w:color w:val="376092" w:themeColor="accent1" w:themeShade="BF"/>
          <w:sz w:val="36"/>
          <w:szCs w:val="36"/>
        </w:rPr>
        <w:fldChar w:fldCharType="end"/>
      </w:r>
    </w:p>
    <w:p w14:paraId="40C3280B">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_Toc9364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Local DNS Sinkholing</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_Toc9364 \h </w:instrText>
      </w:r>
      <w:r>
        <w:rPr>
          <w:color w:val="376092" w:themeColor="accent1" w:themeShade="BF"/>
          <w:sz w:val="36"/>
          <w:szCs w:val="36"/>
        </w:rPr>
        <w:fldChar w:fldCharType="separate"/>
      </w:r>
      <w:r>
        <w:rPr>
          <w:color w:val="376092" w:themeColor="accent1" w:themeShade="BF"/>
          <w:sz w:val="36"/>
          <w:szCs w:val="36"/>
        </w:rPr>
        <w:t>15</w:t>
      </w:r>
      <w:r>
        <w:rPr>
          <w:color w:val="376092" w:themeColor="accent1" w:themeShade="BF"/>
          <w:sz w:val="36"/>
          <w:szCs w:val="36"/>
        </w:rPr>
        <w:fldChar w:fldCharType="end"/>
      </w:r>
      <w:r>
        <w:rPr>
          <w:color w:val="376092" w:themeColor="accent1" w:themeShade="BF"/>
          <w:sz w:val="36"/>
          <w:szCs w:val="36"/>
        </w:rPr>
        <w:fldChar w:fldCharType="end"/>
      </w:r>
    </w:p>
    <w:p w14:paraId="4E5EA39D">
      <w:pPr>
        <w:pStyle w:val="14"/>
        <w:tabs>
          <w:tab w:val="right" w:leader="underscore" w:pos="9360"/>
        </w:tabs>
        <w:spacing w:line="360" w:lineRule="auto"/>
        <w:rPr>
          <w:color w:val="376092" w:themeColor="accent1" w:themeShade="BF"/>
          <w:sz w:val="36"/>
          <w:szCs w:val="36"/>
        </w:rPr>
      </w:pPr>
      <w:r>
        <w:rPr>
          <w:color w:val="376092" w:themeColor="accent1" w:themeShade="BF"/>
          <w:sz w:val="36"/>
          <w:szCs w:val="36"/>
        </w:rPr>
        <w:fldChar w:fldCharType="begin"/>
      </w:r>
      <w:r>
        <w:rPr>
          <w:color w:val="376092" w:themeColor="accent1" w:themeShade="BF"/>
          <w:sz w:val="36"/>
          <w:szCs w:val="36"/>
        </w:rPr>
        <w:instrText xml:space="preserve"> HYPERLINK \l _Toc29905 </w:instrText>
      </w:r>
      <w:r>
        <w:rPr>
          <w:color w:val="376092" w:themeColor="accent1" w:themeShade="BF"/>
          <w:sz w:val="36"/>
          <w:szCs w:val="36"/>
        </w:rPr>
        <w:fldChar w:fldCharType="separate"/>
      </w:r>
      <w:r>
        <w:rPr>
          <w:rFonts w:hint="default" w:ascii="Calibri" w:hAnsi="Calibri" w:eastAsia="Arial" w:cs="Calibri"/>
          <w:color w:val="376092" w:themeColor="accent1" w:themeShade="BF"/>
          <w:sz w:val="36"/>
          <w:szCs w:val="52"/>
          <w:rtl w:val="0"/>
        </w:rPr>
        <w:t>Security Limitations and Wazuh Visibility</w:t>
      </w:r>
      <w:r>
        <w:rPr>
          <w:color w:val="376092" w:themeColor="accent1" w:themeShade="BF"/>
          <w:sz w:val="36"/>
          <w:szCs w:val="36"/>
        </w:rPr>
        <w:tab/>
      </w:r>
      <w:r>
        <w:rPr>
          <w:color w:val="376092" w:themeColor="accent1" w:themeShade="BF"/>
          <w:sz w:val="36"/>
          <w:szCs w:val="36"/>
        </w:rPr>
        <w:fldChar w:fldCharType="begin"/>
      </w:r>
      <w:r>
        <w:rPr>
          <w:color w:val="376092" w:themeColor="accent1" w:themeShade="BF"/>
          <w:sz w:val="36"/>
          <w:szCs w:val="36"/>
        </w:rPr>
        <w:instrText xml:space="preserve"> PAGEREF _Toc29905 \h </w:instrText>
      </w:r>
      <w:r>
        <w:rPr>
          <w:color w:val="376092" w:themeColor="accent1" w:themeShade="BF"/>
          <w:sz w:val="36"/>
          <w:szCs w:val="36"/>
        </w:rPr>
        <w:fldChar w:fldCharType="separate"/>
      </w:r>
      <w:r>
        <w:rPr>
          <w:color w:val="376092" w:themeColor="accent1" w:themeShade="BF"/>
          <w:sz w:val="36"/>
          <w:szCs w:val="36"/>
        </w:rPr>
        <w:t>15</w:t>
      </w:r>
      <w:r>
        <w:rPr>
          <w:color w:val="376092" w:themeColor="accent1" w:themeShade="BF"/>
          <w:sz w:val="36"/>
          <w:szCs w:val="36"/>
        </w:rPr>
        <w:fldChar w:fldCharType="end"/>
      </w:r>
      <w:r>
        <w:rPr>
          <w:color w:val="376092" w:themeColor="accent1" w:themeShade="BF"/>
          <w:sz w:val="36"/>
          <w:szCs w:val="36"/>
        </w:rPr>
        <w:fldChar w:fldCharType="end"/>
      </w:r>
    </w:p>
    <w:p w14:paraId="636FBF00">
      <w:r>
        <w:fldChar w:fldCharType="end"/>
      </w:r>
    </w:p>
    <w:p w14:paraId="2BF56364">
      <w:pPr>
        <w:spacing w:line="360" w:lineRule="auto"/>
        <w:jc w:val="both"/>
        <w:rPr>
          <w:rFonts w:hint="default" w:ascii="Calibri" w:hAnsi="Calibri" w:eastAsia="Arial" w:cs="Calibri"/>
          <w:color w:val="1F1F1F"/>
          <w:sz w:val="44"/>
          <w:szCs w:val="44"/>
          <w:rtl w:val="0"/>
        </w:rPr>
      </w:pPr>
      <w:r>
        <w:rPr>
          <w:rFonts w:hint="default" w:ascii="Calibri" w:hAnsi="Calibri" w:eastAsia="Arial" w:cs="Calibri"/>
          <w:color w:val="1F1F1F"/>
          <w:sz w:val="44"/>
          <w:szCs w:val="44"/>
          <w:rtl w:val="0"/>
        </w:rPr>
        <w:br w:type="page"/>
      </w:r>
    </w:p>
    <w:p w14:paraId="00000018">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Calibri" w:hAnsi="Calibri" w:eastAsia="Arial" w:cs="Calibri"/>
          <w:color w:val="0B5FD1"/>
          <w:sz w:val="44"/>
          <w:szCs w:val="44"/>
        </w:rPr>
      </w:pPr>
      <w:bookmarkStart w:id="3" w:name="_Toc18965"/>
      <w:r>
        <w:rPr>
          <w:rFonts w:hint="default" w:ascii="Calibri" w:hAnsi="Calibri" w:eastAsia="Arial" w:cs="Calibri"/>
          <w:color w:val="0B5FD1"/>
          <w:sz w:val="44"/>
          <w:szCs w:val="44"/>
          <w:rtl w:val="0"/>
        </w:rPr>
        <w:t>Overview</w:t>
      </w:r>
      <w:bookmarkEnd w:id="3"/>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 xml:space="preserve">Week 3 transitions the SOC environment from exclusively host-based monitoring to comprehensive network visibility and perimeter defense. While Wazuh is highly effective at tracking file modifications, log anomalies, and authentication attempts, it inherently lacks visibility into raw network traffic. To eliminate this blind spot, </w:t>
      </w:r>
      <w:r>
        <w:rPr>
          <w:rFonts w:hint="default" w:ascii="Calibri" w:hAnsi="Calibri" w:eastAsia="Arial" w:cs="Calibri"/>
          <w:b/>
          <w:bCs/>
          <w:color w:val="1F1F1F"/>
          <w:sz w:val="28"/>
          <w:szCs w:val="28"/>
          <w:rtl w:val="0"/>
        </w:rPr>
        <w:t>Suricata</w:t>
      </w:r>
      <w:r>
        <w:rPr>
          <w:rFonts w:hint="default" w:ascii="Calibri" w:hAnsi="Calibri" w:eastAsia="Arial" w:cs="Calibri"/>
          <w:color w:val="1F1F1F"/>
          <w:sz w:val="28"/>
          <w:szCs w:val="28"/>
          <w:rtl w:val="0"/>
        </w:rPr>
        <w:t>, a high-performance Network Intrusion Detection System (NIDS), was deployed.</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primary objective of this week was to install Suricata, write custom signature-based detection rules for specific threats, forward the network alerts into the central Wazuh Manager, and correlate network attacks with host-level breaches. Finally, active perimeter defense was established by deploying IPSet and IPtables to block malicious traffic originating from foreign geographic regions.</w:t>
      </w:r>
    </w:p>
    <w:p w14:paraId="0000001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44"/>
          <w:szCs w:val="44"/>
        </w:rPr>
      </w:pPr>
      <w:bookmarkStart w:id="4" w:name="_Toc5783"/>
      <w:r>
        <w:rPr>
          <w:rFonts w:hint="default" w:ascii="Calibri" w:hAnsi="Calibri" w:eastAsia="Arial" w:cs="Calibri"/>
          <w:color w:val="0B5FD1"/>
          <w:sz w:val="44"/>
          <w:szCs w:val="44"/>
          <w:rtl w:val="0"/>
        </w:rPr>
        <w:t>Days 15 and 16 — Suricata Installation and Configuration</w:t>
      </w:r>
      <w:bookmarkEnd w:id="4"/>
    </w:p>
    <w:p w14:paraId="0000001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5" w:name="_Toc5538"/>
      <w:r>
        <w:rPr>
          <w:rFonts w:hint="default" w:ascii="Calibri" w:hAnsi="Calibri" w:eastAsia="Arial" w:cs="Calibri"/>
          <w:color w:val="0B5FD1"/>
          <w:sz w:val="36"/>
          <w:szCs w:val="36"/>
          <w:rtl w:val="0"/>
        </w:rPr>
        <w:t>Conceptual Foundations</w:t>
      </w:r>
      <w:bookmarkEnd w:id="5"/>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12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Before deployment, it is crucial to understand Suricata's operating modes and logging mechanisms:</w:t>
      </w:r>
    </w:p>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360" w:lineRule="auto"/>
        <w:ind w:left="465" w:hanging="360"/>
        <w:jc w:val="both"/>
        <w:rPr>
          <w:rFonts w:hint="default" w:ascii="Calibri" w:hAnsi="Calibri" w:cs="Calibri"/>
          <w:sz w:val="28"/>
          <w:szCs w:val="28"/>
        </w:rPr>
      </w:pPr>
      <w:r>
        <w:rPr>
          <w:rFonts w:hint="default" w:ascii="Calibri" w:hAnsi="Calibri" w:eastAsia="Arial" w:cs="Calibri"/>
          <w:b/>
          <w:bCs/>
          <w:color w:val="1F1F1F"/>
          <w:sz w:val="28"/>
          <w:szCs w:val="28"/>
          <w:rtl w:val="0"/>
        </w:rPr>
        <w:t>IDS vs. IPS:</w:t>
      </w:r>
      <w:r>
        <w:rPr>
          <w:rFonts w:hint="default" w:ascii="Calibri" w:hAnsi="Calibri" w:eastAsia="Arial" w:cs="Calibri"/>
          <w:color w:val="1F1F1F"/>
          <w:sz w:val="28"/>
          <w:szCs w:val="28"/>
          <w:rtl w:val="0"/>
        </w:rPr>
        <w:t xml:space="preserve"> Suricata was deployed in </w:t>
      </w:r>
      <w:r>
        <w:rPr>
          <w:rFonts w:hint="default" w:ascii="Calibri" w:hAnsi="Calibri" w:eastAsia="Arial" w:cs="Calibri"/>
          <w:b/>
          <w:bCs/>
          <w:color w:val="1F1F1F"/>
          <w:sz w:val="28"/>
          <w:szCs w:val="28"/>
          <w:rtl w:val="0"/>
        </w:rPr>
        <w:t>Intrusion Detection System (IDS)</w:t>
      </w:r>
      <w:r>
        <w:rPr>
          <w:rFonts w:hint="default" w:ascii="Calibri" w:hAnsi="Calibri" w:eastAsia="Arial" w:cs="Calibri"/>
          <w:color w:val="1F1F1F"/>
          <w:sz w:val="28"/>
          <w:szCs w:val="28"/>
          <w:rtl w:val="0"/>
        </w:rPr>
        <w:t xml:space="preserve"> mode rather than Intrusion Prevention System (IPS) mode. IDS mode passively inspects copies of network traffic and generates alerts without interfering with packets. IPS mode sits inline and drops traffic, which can cause catastrophic self-denial-of-service if a rule is overly aggressive. In a SOC, detection must be mastered before prevention is implemented.</w:t>
      </w:r>
    </w:p>
    <w:p w14:paraId="0000001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360" w:lineRule="auto"/>
        <w:ind w:left="465" w:hanging="360"/>
        <w:jc w:val="both"/>
        <w:rPr>
          <w:rFonts w:hint="default" w:ascii="Calibri" w:hAnsi="Calibri" w:cs="Calibri"/>
          <w:sz w:val="28"/>
          <w:szCs w:val="28"/>
        </w:rPr>
      </w:pPr>
      <w:r>
        <w:rPr>
          <w:rFonts w:hint="default" w:ascii="Calibri" w:hAnsi="Calibri" w:eastAsia="Arial" w:cs="Calibri"/>
          <w:b/>
          <w:bCs/>
          <w:color w:val="1F1F1F"/>
          <w:sz w:val="28"/>
          <w:szCs w:val="28"/>
          <w:rtl w:val="0"/>
        </w:rPr>
        <w:t>fast.log vs eve.json:</w:t>
      </w:r>
      <w:r>
        <w:rPr>
          <w:rFonts w:hint="default" w:ascii="Calibri" w:hAnsi="Calibri" w:eastAsia="Arial" w:cs="Calibri"/>
          <w:color w:val="1F1F1F"/>
          <w:sz w:val="28"/>
          <w:szCs w:val="28"/>
          <w:rtl w:val="0"/>
        </w:rPr>
        <w:t xml:space="preserve"> Suricata outputs alerts to two primary files. fast.log provides a simple, human-readable single-line summary of an alert. eve.json outputs rich, structured JSON data containing extensive metadata (HTTP headers, flow data, payloads) designed specifically for ingestion by SIEMs like Wazuh.</w:t>
      </w:r>
    </w:p>
    <w:p w14:paraId="00000020">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Calibri" w:hAnsi="Calibri" w:eastAsia="Arial" w:cs="Calibri"/>
          <w:color w:val="0B5FD1"/>
          <w:sz w:val="36"/>
          <w:szCs w:val="36"/>
        </w:rPr>
      </w:pPr>
      <w:bookmarkStart w:id="6" w:name="_Toc29051"/>
      <w:r>
        <w:rPr>
          <w:rFonts w:hint="default" w:ascii="Calibri" w:hAnsi="Calibri" w:eastAsia="Arial" w:cs="Calibri"/>
          <w:color w:val="0B5FD1"/>
          <w:sz w:val="36"/>
          <w:szCs w:val="36"/>
          <w:rtl w:val="0"/>
        </w:rPr>
        <w:t>Installation and Network Configuration</w:t>
      </w:r>
      <w:bookmarkEnd w:id="6"/>
    </w:p>
    <w:p w14:paraId="0000002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Suricata was installed onto the Kali Linux VM to directly monitor the interface generating and receiving attack traffic.</w:t>
      </w:r>
    </w:p>
    <w:p w14:paraId="08FC13A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606800" cy="749300"/>
            <wp:effectExtent l="0" t="0" r="0" b="0"/>
            <wp:docPr id="4" name="Picture 4" descr="day15_16_apt_install_suri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y15_16_apt_install_suricata"/>
                    <pic:cNvPicPr>
                      <a:picLocks noChangeAspect="1"/>
                    </pic:cNvPicPr>
                  </pic:nvPicPr>
                  <pic:blipFill>
                    <a:blip r:embed="rId5"/>
                    <a:stretch>
                      <a:fillRect/>
                    </a:stretch>
                  </pic:blipFill>
                  <pic:spPr>
                    <a:xfrm>
                      <a:off x="0" y="0"/>
                      <a:ext cx="3606800" cy="749300"/>
                    </a:xfrm>
                    <a:prstGeom prst="rect">
                      <a:avLst/>
                    </a:prstGeom>
                  </pic:spPr>
                </pic:pic>
              </a:graphicData>
            </a:graphic>
          </wp:inline>
        </w:drawing>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network interfaces were verified using the ip a command to identify the correct Host-Only adapter.</w:t>
      </w:r>
    </w:p>
    <w:p w14:paraId="69CF415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092700" cy="2616200"/>
            <wp:effectExtent l="0" t="0" r="0" b="0"/>
            <wp:docPr id="5" name="Picture 5" descr="day15_16_check_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y15_16_check_interfaces"/>
                    <pic:cNvPicPr>
                      <a:picLocks noChangeAspect="1"/>
                    </pic:cNvPicPr>
                  </pic:nvPicPr>
                  <pic:blipFill>
                    <a:blip r:embed="rId6"/>
                    <a:stretch>
                      <a:fillRect/>
                    </a:stretch>
                  </pic:blipFill>
                  <pic:spPr>
                    <a:xfrm>
                      <a:off x="0" y="0"/>
                      <a:ext cx="5092700" cy="2616200"/>
                    </a:xfrm>
                    <a:prstGeom prst="rect">
                      <a:avLst/>
                    </a:prstGeom>
                  </pic:spPr>
                </pic:pic>
              </a:graphicData>
            </a:graphic>
          </wp:inline>
        </w:drawing>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primary configuration file suricata.yaml was opened to define the network scope and capture interface.</w:t>
      </w:r>
    </w:p>
    <w:p w14:paraId="5975A07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2139950" cy="273050"/>
            <wp:effectExtent l="0" t="0" r="6350" b="6350"/>
            <wp:docPr id="6" name="Picture 6" descr="day15_16_open_suricata_ya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ay15_16_open_suricata_yaml"/>
                    <pic:cNvPicPr>
                      <a:picLocks noChangeAspect="1"/>
                    </pic:cNvPicPr>
                  </pic:nvPicPr>
                  <pic:blipFill>
                    <a:blip r:embed="rId7"/>
                    <a:stretch>
                      <a:fillRect/>
                    </a:stretch>
                  </pic:blipFill>
                  <pic:spPr>
                    <a:xfrm>
                      <a:off x="0" y="0"/>
                      <a:ext cx="2139950" cy="273050"/>
                    </a:xfrm>
                    <a:prstGeom prst="rect">
                      <a:avLst/>
                    </a:prstGeom>
                  </pic:spPr>
                </pic:pic>
              </a:graphicData>
            </a:graphic>
          </wp:inline>
        </w:drawing>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HOME_NET variable was explicitly configured to monitor the local lab subnet [192.168.56.0/24]. Furthermore, the af-packet capture mechanism was configured to bind to eth0. af-packet utilizes the Linux kernel's high-performance packet capture interface to drop packets directly into Suricata's analysis engine with minimal overhead.</w:t>
      </w:r>
    </w:p>
    <w:p w14:paraId="2C844A3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162300" cy="977900"/>
            <wp:effectExtent l="0" t="0" r="0" b="0"/>
            <wp:docPr id="7" name="Picture 7" descr="day15_16_set_home_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ay15_16_set_home_net"/>
                    <pic:cNvPicPr>
                      <a:picLocks noChangeAspect="1"/>
                    </pic:cNvPicPr>
                  </pic:nvPicPr>
                  <pic:blipFill>
                    <a:blip r:embed="rId8"/>
                    <a:stretch>
                      <a:fillRect/>
                    </a:stretch>
                  </pic:blipFill>
                  <pic:spPr>
                    <a:xfrm>
                      <a:off x="0" y="0"/>
                      <a:ext cx="3162300" cy="977900"/>
                    </a:xfrm>
                    <a:prstGeom prst="rect">
                      <a:avLst/>
                    </a:prstGeom>
                  </pic:spPr>
                </pic:pic>
              </a:graphicData>
            </a:graphic>
          </wp:inline>
        </w:drawing>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Suricata service was started and verified to be actively running.</w:t>
      </w:r>
    </w:p>
    <w:p w14:paraId="66C4FAE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3600" cy="1769110"/>
            <wp:effectExtent l="0" t="0" r="0" b="8890"/>
            <wp:docPr id="8" name="Picture 8" descr="day15_16_systemctl_status_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y15_16_systemctl_status_active"/>
                    <pic:cNvPicPr>
                      <a:picLocks noChangeAspect="1"/>
                    </pic:cNvPicPr>
                  </pic:nvPicPr>
                  <pic:blipFill>
                    <a:blip r:embed="rId9"/>
                    <a:stretch>
                      <a:fillRect/>
                    </a:stretch>
                  </pic:blipFill>
                  <pic:spPr>
                    <a:xfrm>
                      <a:off x="0" y="0"/>
                      <a:ext cx="5943600" cy="1769110"/>
                    </a:xfrm>
                    <a:prstGeom prst="rect">
                      <a:avLst/>
                    </a:prstGeom>
                  </pic:spPr>
                </pic:pic>
              </a:graphicData>
            </a:graphic>
          </wp:inline>
        </w:drawing>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To prepare for rule testing, a continuous read (tail -f) was executed on the fast.log file.</w:t>
      </w:r>
    </w:p>
    <w:p w14:paraId="112324A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2076450" cy="400050"/>
            <wp:effectExtent l="0" t="0" r="6350" b="6350"/>
            <wp:docPr id="9" name="Picture 9" descr="day16_17_tail_fast_log_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y16_17_tail_fast_log_empty"/>
                    <pic:cNvPicPr>
                      <a:picLocks noChangeAspect="1"/>
                    </pic:cNvPicPr>
                  </pic:nvPicPr>
                  <pic:blipFill>
                    <a:blip r:embed="rId10"/>
                    <a:stretch>
                      <a:fillRect/>
                    </a:stretch>
                  </pic:blipFill>
                  <pic:spPr>
                    <a:xfrm>
                      <a:off x="0" y="0"/>
                      <a:ext cx="2076450" cy="400050"/>
                    </a:xfrm>
                    <a:prstGeom prst="rect">
                      <a:avLst/>
                    </a:prstGeom>
                  </pic:spPr>
                </pic:pic>
              </a:graphicData>
            </a:graphic>
          </wp:inline>
        </w:drawing>
      </w:r>
    </w:p>
    <w:p w14:paraId="0000002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44"/>
          <w:szCs w:val="44"/>
        </w:rPr>
      </w:pPr>
      <w:bookmarkStart w:id="7" w:name="_Toc32498"/>
      <w:r>
        <w:rPr>
          <w:rFonts w:hint="default" w:ascii="Calibri" w:hAnsi="Calibri" w:eastAsia="Arial" w:cs="Calibri"/>
          <w:color w:val="0B5FD1"/>
          <w:sz w:val="44"/>
          <w:szCs w:val="44"/>
          <w:rtl w:val="0"/>
        </w:rPr>
        <w:t>Day 17 — Suricata Rule Writing</w:t>
      </w:r>
      <w:bookmarkEnd w:id="7"/>
    </w:p>
    <w:p w14:paraId="0000002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8" w:name="_Toc12218"/>
      <w:r>
        <w:rPr>
          <w:rFonts w:hint="default" w:ascii="Calibri" w:hAnsi="Calibri" w:eastAsia="Arial" w:cs="Calibri"/>
          <w:color w:val="0B5FD1"/>
          <w:sz w:val="36"/>
          <w:szCs w:val="36"/>
          <w:rtl w:val="0"/>
        </w:rPr>
        <w:t>Rule Engineering</w:t>
      </w:r>
      <w:bookmarkEnd w:id="8"/>
    </w:p>
    <w:p w14:paraId="0000002F">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Suricata utilizes a robust syntax to perform both signature-based detection (matching explicit byte sequences) and anomaly-based detection (identifying behavioral deviations like floods or scans). The suricata.yaml file was modified to explicitly load custom signatures from a local rules file.</w:t>
      </w:r>
    </w:p>
    <w:p w14:paraId="76A7135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073400" cy="971550"/>
            <wp:effectExtent l="0" t="0" r="0" b="6350"/>
            <wp:docPr id="10" name="Picture 10" descr="day17_include_local_rules_ya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y17_include_local_rules_yaml"/>
                    <pic:cNvPicPr>
                      <a:picLocks noChangeAspect="1"/>
                    </pic:cNvPicPr>
                  </pic:nvPicPr>
                  <pic:blipFill>
                    <a:blip r:embed="rId11"/>
                    <a:stretch>
                      <a:fillRect/>
                    </a:stretch>
                  </pic:blipFill>
                  <pic:spPr>
                    <a:xfrm>
                      <a:off x="0" y="0"/>
                      <a:ext cx="3073400" cy="971550"/>
                    </a:xfrm>
                    <a:prstGeom prst="rect">
                      <a:avLst/>
                    </a:prstGeom>
                  </pic:spPr>
                </pic:pic>
              </a:graphicData>
            </a:graphic>
          </wp:inline>
        </w:drawing>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local rules file was opened to author three custom detection signatures.</w:t>
      </w:r>
    </w:p>
    <w:p w14:paraId="300EB55E">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2292350" cy="234950"/>
            <wp:effectExtent l="0" t="0" r="6350" b="6350"/>
            <wp:docPr id="11" name="Picture 11" descr="day17_open_local_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y17_open_local_rules"/>
                    <pic:cNvPicPr>
                      <a:picLocks noChangeAspect="1"/>
                    </pic:cNvPicPr>
                  </pic:nvPicPr>
                  <pic:blipFill>
                    <a:blip r:embed="rId12"/>
                    <a:stretch>
                      <a:fillRect/>
                    </a:stretch>
                  </pic:blipFill>
                  <pic:spPr>
                    <a:xfrm>
                      <a:off x="0" y="0"/>
                      <a:ext cx="2292350" cy="234950"/>
                    </a:xfrm>
                    <a:prstGeom prst="rect">
                      <a:avLst/>
                    </a:prstGeom>
                  </pic:spPr>
                </pic:pic>
              </a:graphicData>
            </a:graphic>
          </wp:inline>
        </w:drawing>
      </w:r>
    </w:p>
    <w:p w14:paraId="0000003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rules were engineered with unique SIDs (100000X) to prevent conflicts with the community ruleset.</w:t>
      </w:r>
    </w:p>
    <w:p w14:paraId="6ECED83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4710" cy="743585"/>
            <wp:effectExtent l="0" t="0" r="8890" b="5715"/>
            <wp:docPr id="12" name="Picture 12" descr="day17_write_custom_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ay17_write_custom_rules"/>
                    <pic:cNvPicPr>
                      <a:picLocks noChangeAspect="1"/>
                    </pic:cNvPicPr>
                  </pic:nvPicPr>
                  <pic:blipFill>
                    <a:blip r:embed="rId13"/>
                    <a:stretch>
                      <a:fillRect/>
                    </a:stretch>
                  </pic:blipFill>
                  <pic:spPr>
                    <a:xfrm>
                      <a:off x="0" y="0"/>
                      <a:ext cx="5934710" cy="743585"/>
                    </a:xfrm>
                    <a:prstGeom prst="rect">
                      <a:avLst/>
                    </a:prstGeom>
                  </pic:spPr>
                </pic:pic>
              </a:graphicData>
            </a:graphic>
          </wp:inline>
        </w:drawing>
      </w:r>
    </w:p>
    <w:p w14:paraId="299CDE5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2"/>
          <w:szCs w:val="32"/>
          <w:rtl w:val="0"/>
        </w:rPr>
      </w:pPr>
    </w:p>
    <w:p w14:paraId="19E24A85">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2"/>
          <w:szCs w:val="32"/>
          <w:rtl w:val="0"/>
        </w:rPr>
      </w:pPr>
    </w:p>
    <w:p w14:paraId="7EB66F8E">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2"/>
          <w:szCs w:val="32"/>
          <w:rtl w:val="0"/>
        </w:rPr>
      </w:pPr>
    </w:p>
    <w:p w14:paraId="3F3FF40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2"/>
          <w:szCs w:val="32"/>
          <w:rtl w:val="0"/>
        </w:rPr>
      </w:pPr>
    </w:p>
    <w:p w14:paraId="00000035">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2"/>
          <w:szCs w:val="32"/>
        </w:rPr>
      </w:pPr>
      <w:r>
        <w:rPr>
          <w:rFonts w:hint="default" w:ascii="Calibri" w:hAnsi="Calibri" w:eastAsia="Arial" w:cs="Calibri"/>
          <w:color w:val="0B5FD1"/>
          <w:sz w:val="32"/>
          <w:szCs w:val="32"/>
          <w:rtl w:val="0"/>
        </w:rPr>
        <w:t>Custom Rules Breakdown</w:t>
      </w:r>
    </w:p>
    <w:tbl>
      <w:tblPr>
        <w:tblStyle w:val="16"/>
        <w:tblW w:w="9360" w:type="dxa"/>
        <w:jc w:val="center"/>
        <w:tblBorders>
          <w:top w:val="single" w:color="1D41D5" w:sz="12" w:space="0"/>
          <w:left w:val="single" w:color="1D41D5" w:sz="12" w:space="0"/>
          <w:bottom w:val="single" w:color="1D41D5" w:sz="12" w:space="0"/>
          <w:right w:val="single" w:color="1D41D5" w:sz="12" w:space="0"/>
          <w:insideH w:val="single" w:color="1D41D5" w:sz="12" w:space="0"/>
          <w:insideV w:val="single" w:color="1D41D5" w:sz="12" w:space="0"/>
        </w:tblBorders>
        <w:tblLayout w:type="fixed"/>
        <w:tblCellMar>
          <w:top w:w="100" w:type="dxa"/>
          <w:left w:w="100" w:type="dxa"/>
          <w:bottom w:w="100" w:type="dxa"/>
          <w:right w:w="100" w:type="dxa"/>
        </w:tblCellMar>
      </w:tblPr>
      <w:tblGrid>
        <w:gridCol w:w="3120"/>
        <w:gridCol w:w="3120"/>
        <w:gridCol w:w="3120"/>
      </w:tblGrid>
      <w:tr w14:paraId="1B375769">
        <w:tblPrEx>
          <w:tblBorders>
            <w:top w:val="single" w:color="1D41D5" w:sz="12" w:space="0"/>
            <w:left w:val="single" w:color="1D41D5" w:sz="12" w:space="0"/>
            <w:bottom w:val="single" w:color="1D41D5" w:sz="12" w:space="0"/>
            <w:right w:val="single" w:color="1D41D5" w:sz="12" w:space="0"/>
            <w:insideH w:val="single" w:color="1D41D5" w:sz="12" w:space="0"/>
            <w:insideV w:val="single" w:color="1D41D5" w:sz="12" w:space="0"/>
          </w:tblBorders>
          <w:tblCellMar>
            <w:top w:w="100" w:type="dxa"/>
            <w:left w:w="100" w:type="dxa"/>
            <w:bottom w:w="100" w:type="dxa"/>
            <w:right w:w="100" w:type="dxa"/>
          </w:tblCellMar>
        </w:tblPrEx>
        <w:trPr>
          <w:jc w:val="center"/>
        </w:trPr>
        <w:tc>
          <w:tcPr>
            <w:tcBorders>
              <w:top w:val="single" w:color="FFFFFF" w:sz="4" w:space="0"/>
              <w:left w:val="single" w:color="FFFFFF" w:sz="4" w:space="0"/>
              <w:bottom w:val="single" w:color="FFFFFF" w:sz="4" w:space="0"/>
              <w:right w:val="single" w:color="FFFFFF" w:sz="4" w:space="0"/>
              <w:tl2br w:val="nil"/>
              <w:tr2bl w:val="nil"/>
            </w:tcBorders>
            <w:shd w:val="clear" w:color="auto" w:fill="4F81B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Rule Type</w:t>
            </w:r>
          </w:p>
        </w:tc>
        <w:tc>
          <w:tcPr>
            <w:tcBorders>
              <w:top w:val="single" w:color="FFFFFF" w:sz="4" w:space="0"/>
              <w:left w:val="single" w:color="FFFFFF" w:sz="4" w:space="0"/>
              <w:bottom w:val="single" w:color="FFFFFF" w:sz="4" w:space="0"/>
              <w:right w:val="single" w:color="FFFFFF" w:sz="4" w:space="0"/>
              <w:tl2br w:val="nil"/>
              <w:tr2bl w:val="nil"/>
            </w:tcBorders>
            <w:shd w:val="clear" w:color="auto" w:fill="4F81B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Threat Scenario</w:t>
            </w:r>
          </w:p>
        </w:tc>
        <w:tc>
          <w:tcPr>
            <w:tcBorders>
              <w:top w:val="single" w:color="FFFFFF" w:sz="4" w:space="0"/>
              <w:left w:val="single" w:color="FFFFFF" w:sz="4" w:space="0"/>
              <w:bottom w:val="single" w:color="FFFFFF" w:sz="4" w:space="0"/>
              <w:right w:val="single" w:color="FFFFFF" w:sz="4" w:space="0"/>
              <w:tl2br w:val="nil"/>
              <w:tr2bl w:val="nil"/>
            </w:tcBorders>
            <w:shd w:val="clear" w:color="auto" w:fill="4F81B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Rule Logic &amp; Thresholds</w:t>
            </w:r>
          </w:p>
        </w:tc>
      </w:tr>
      <w:tr w14:paraId="4F56DA54">
        <w:tblPrEx>
          <w:tblBorders>
            <w:top w:val="single" w:color="1D41D5" w:sz="12" w:space="0"/>
            <w:left w:val="single" w:color="1D41D5" w:sz="12" w:space="0"/>
            <w:bottom w:val="single" w:color="1D41D5" w:sz="12" w:space="0"/>
            <w:right w:val="single" w:color="1D41D5" w:sz="12" w:space="0"/>
            <w:insideH w:val="single" w:color="1D41D5" w:sz="12" w:space="0"/>
            <w:insideV w:val="single" w:color="1D41D5" w:sz="12" w:space="0"/>
          </w:tblBorders>
          <w:tblCellMar>
            <w:top w:w="100" w:type="dxa"/>
            <w:left w:w="100" w:type="dxa"/>
            <w:bottom w:w="100" w:type="dxa"/>
            <w:right w:w="100" w:type="dxa"/>
          </w:tblCellMar>
        </w:tblPrEx>
        <w:trPr>
          <w:jc w:val="center"/>
        </w:trPr>
        <w:tc>
          <w:tcPr>
            <w:tcBorders>
              <w:top w:val="single" w:color="FFFFFF" w:sz="4" w:space="0"/>
              <w:left w:val="single" w:color="FFFFFF" w:sz="4" w:space="0"/>
              <w:bottom w:val="single" w:color="FFFFFF" w:sz="4" w:space="0"/>
              <w:right w:val="single" w:color="FFFFFF" w:sz="4" w:space="0"/>
              <w:tl2br w:val="nil"/>
              <w:tr2bl w:val="nil"/>
            </w:tcBorders>
            <w:shd w:val="clear" w:color="auto" w:fill="4F81B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ICMP Flood</w:t>
            </w:r>
          </w:p>
        </w:tc>
        <w:tc>
          <w:tcPr>
            <w:tcBorders>
              <w:top w:val="single" w:color="FFFFFF" w:sz="4" w:space="0"/>
              <w:left w:val="single" w:color="FFFFFF" w:sz="4" w:space="0"/>
              <w:bottom w:val="single" w:color="FFFFFF" w:sz="4" w:space="0"/>
              <w:right w:val="single" w:color="FFFFFF" w:sz="4" w:space="0"/>
              <w:tl2br w:val="nil"/>
              <w:tr2bl w:val="nil"/>
            </w:tcBorders>
            <w:shd w:val="clear" w:color="auto" w:fill="DBE6F2"/>
            <w:tcMar>
              <w:top w:w="120" w:type="dxa"/>
              <w:left w:w="180" w:type="dxa"/>
              <w:bottom w:w="120" w:type="dxa"/>
              <w:right w:w="18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Detects Denial of Service (DoS) attempts or aggressive network sweeps using rapid ping requests.</w:t>
            </w:r>
          </w:p>
        </w:tc>
        <w:tc>
          <w:tcPr>
            <w:tcBorders>
              <w:top w:val="single" w:color="FFFFFF" w:sz="4" w:space="0"/>
              <w:left w:val="single" w:color="FFFFFF" w:sz="4" w:space="0"/>
              <w:bottom w:val="single" w:color="FFFFFF" w:sz="4" w:space="0"/>
              <w:right w:val="single" w:color="FFFFFF" w:sz="4" w:space="0"/>
              <w:tl2br w:val="nil"/>
              <w:tr2bl w:val="nil"/>
            </w:tcBorders>
            <w:shd w:val="clear" w:color="auto" w:fill="DBE6F2"/>
            <w:tcMar>
              <w:top w:w="120" w:type="dxa"/>
              <w:left w:w="180" w:type="dxa"/>
              <w:bottom w:w="120" w:type="dxa"/>
              <w:right w:w="18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The rule inspects icmp traffic looking for itype:8 (Echo Request). A threshold parameter is essential here; without it, every legitimate ping would trigger an alert. The rule fires only if a high volume of packets from a single source exceeds the defined limit within a brief timeframe.</w:t>
            </w:r>
          </w:p>
        </w:tc>
      </w:tr>
      <w:tr w14:paraId="1830D268">
        <w:tblPrEx>
          <w:tblBorders>
            <w:top w:val="single" w:color="1D41D5" w:sz="12" w:space="0"/>
            <w:left w:val="single" w:color="1D41D5" w:sz="12" w:space="0"/>
            <w:bottom w:val="single" w:color="1D41D5" w:sz="12" w:space="0"/>
            <w:right w:val="single" w:color="1D41D5" w:sz="12" w:space="0"/>
            <w:insideH w:val="single" w:color="1D41D5" w:sz="12" w:space="0"/>
            <w:insideV w:val="single" w:color="1D41D5" w:sz="12" w:space="0"/>
          </w:tblBorders>
          <w:tblCellMar>
            <w:top w:w="100" w:type="dxa"/>
            <w:left w:w="100" w:type="dxa"/>
            <w:bottom w:w="100" w:type="dxa"/>
            <w:right w:w="100" w:type="dxa"/>
          </w:tblCellMar>
        </w:tblPrEx>
        <w:trPr>
          <w:jc w:val="center"/>
        </w:trPr>
        <w:tc>
          <w:tcPr>
            <w:tcBorders>
              <w:top w:val="single" w:color="FFFFFF" w:sz="4" w:space="0"/>
              <w:left w:val="single" w:color="FFFFFF" w:sz="4" w:space="0"/>
              <w:bottom w:val="single" w:color="FFFFFF" w:sz="4" w:space="0"/>
              <w:right w:val="single" w:color="FFFFFF" w:sz="4" w:space="0"/>
              <w:tl2br w:val="nil"/>
              <w:tr2bl w:val="nil"/>
            </w:tcBorders>
            <w:shd w:val="clear" w:color="auto" w:fill="4F81BD"/>
            <w:tcMar>
              <w:top w:w="120" w:type="dxa"/>
              <w:left w:w="180" w:type="dxa"/>
              <w:bottom w:w="120" w:type="dxa"/>
              <w:right w:w="18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Nmap SYN Scan</w:t>
            </w:r>
          </w:p>
        </w:tc>
        <w:tc>
          <w:tcPr>
            <w:tcBorders>
              <w:top w:val="single" w:color="FFFFFF" w:sz="4" w:space="0"/>
              <w:left w:val="single" w:color="FFFFFF" w:sz="4" w:space="0"/>
              <w:bottom w:val="single" w:color="FFFFFF" w:sz="4" w:space="0"/>
              <w:right w:val="single" w:color="FFFFFF" w:sz="4" w:space="0"/>
              <w:tl2br w:val="nil"/>
              <w:tr2bl w:val="nil"/>
            </w:tcBorders>
            <w:shd w:val="clear" w:color="auto" w:fill="DBE6F2"/>
            <w:tcMar>
              <w:top w:w="120" w:type="dxa"/>
              <w:left w:w="180" w:type="dxa"/>
              <w:bottom w:w="120" w:type="dxa"/>
              <w:right w:w="18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Detects reconnaissance activity where an attacker maps open ports without fully completing the TCP handshake.</w:t>
            </w:r>
          </w:p>
        </w:tc>
        <w:tc>
          <w:tcPr>
            <w:tcBorders>
              <w:top w:val="single" w:color="FFFFFF" w:sz="4" w:space="0"/>
              <w:left w:val="single" w:color="FFFFFF" w:sz="4" w:space="0"/>
              <w:bottom w:val="single" w:color="FFFFFF" w:sz="4" w:space="0"/>
              <w:right w:val="single" w:color="FFFFFF" w:sz="4" w:space="0"/>
              <w:tl2br w:val="nil"/>
              <w:tr2bl w:val="nil"/>
            </w:tcBorders>
            <w:shd w:val="clear" w:color="auto" w:fill="DBE6F2"/>
            <w:tcMar>
              <w:top w:w="120" w:type="dxa"/>
              <w:left w:w="180" w:type="dxa"/>
              <w:bottom w:w="120" w:type="dxa"/>
              <w:right w:w="18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The rule looks for tcp packets sent to any port containing exclusively the SYN flag (flags:S). It is classified as attempted-recon.</w:t>
            </w:r>
          </w:p>
        </w:tc>
      </w:tr>
      <w:tr w14:paraId="59FD3CE0">
        <w:tblPrEx>
          <w:tblBorders>
            <w:top w:val="single" w:color="1D41D5" w:sz="12" w:space="0"/>
            <w:left w:val="single" w:color="1D41D5" w:sz="12" w:space="0"/>
            <w:bottom w:val="single" w:color="1D41D5" w:sz="12" w:space="0"/>
            <w:right w:val="single" w:color="1D41D5" w:sz="12" w:space="0"/>
            <w:insideH w:val="single" w:color="1D41D5" w:sz="12" w:space="0"/>
            <w:insideV w:val="single" w:color="1D41D5" w:sz="12" w:space="0"/>
          </w:tblBorders>
          <w:tblCellMar>
            <w:top w:w="100" w:type="dxa"/>
            <w:left w:w="100" w:type="dxa"/>
            <w:bottom w:w="100" w:type="dxa"/>
            <w:right w:w="100" w:type="dxa"/>
          </w:tblCellMar>
        </w:tblPrEx>
        <w:trPr>
          <w:jc w:val="center"/>
        </w:trPr>
        <w:tc>
          <w:tcPr>
            <w:tcBorders>
              <w:top w:val="single" w:color="FFFFFF" w:sz="4" w:space="0"/>
              <w:left w:val="single" w:color="FFFFFF" w:sz="4" w:space="0"/>
              <w:bottom w:val="single" w:color="FFFFFF" w:sz="4" w:space="0"/>
              <w:right w:val="single" w:color="FFFFFF" w:sz="4" w:space="0"/>
              <w:tl2br w:val="nil"/>
              <w:tr2bl w:val="nil"/>
            </w:tcBorders>
            <w:shd w:val="clear" w:color="auto" w:fill="4F81BD"/>
            <w:tcMar>
              <w:top w:w="120" w:type="dxa"/>
              <w:left w:w="180" w:type="dxa"/>
              <w:bottom w:w="120" w:type="dxa"/>
              <w:right w:w="18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Malicious HTTP</w:t>
            </w:r>
          </w:p>
        </w:tc>
        <w:tc>
          <w:tcPr>
            <w:tcBorders>
              <w:top w:val="single" w:color="FFFFFF" w:sz="4" w:space="0"/>
              <w:left w:val="single" w:color="FFFFFF" w:sz="4" w:space="0"/>
              <w:bottom w:val="single" w:color="FFFFFF" w:sz="4" w:space="0"/>
              <w:right w:val="single" w:color="FFFFFF" w:sz="4" w:space="0"/>
              <w:tl2br w:val="nil"/>
              <w:tr2bl w:val="nil"/>
            </w:tcBorders>
            <w:shd w:val="clear" w:color="auto" w:fill="DBE6F2"/>
            <w:tcMar>
              <w:top w:w="120" w:type="dxa"/>
              <w:left w:w="180" w:type="dxa"/>
              <w:bottom w:w="120" w:type="dxa"/>
              <w:right w:w="18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Detects Directory Traversal exploits (../../../etc/passwd) or unauthorized command-line web requests.</w:t>
            </w:r>
          </w:p>
        </w:tc>
        <w:tc>
          <w:tcPr>
            <w:tcBorders>
              <w:top w:val="single" w:color="FFFFFF" w:sz="4" w:space="0"/>
              <w:left w:val="single" w:color="FFFFFF" w:sz="4" w:space="0"/>
              <w:bottom w:val="single" w:color="FFFFFF" w:sz="4" w:space="0"/>
              <w:right w:val="single" w:color="FFFFFF" w:sz="4" w:space="0"/>
              <w:tl2br w:val="nil"/>
              <w:tr2bl w:val="nil"/>
            </w:tcBorders>
            <w:shd w:val="clear" w:color="auto" w:fill="DBE6F2"/>
            <w:tcMar>
              <w:top w:w="120" w:type="dxa"/>
              <w:left w:w="180" w:type="dxa"/>
              <w:bottom w:w="120" w:type="dxa"/>
              <w:right w:w="18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The rule specifically filters for the GET method and inspects the HTTP headers. It searches for content:"Wget" within the http.user_agent field, classifying it as a web-application-attack.</w:t>
            </w:r>
          </w:p>
        </w:tc>
      </w:tr>
    </w:tbl>
    <w:p w14:paraId="00000042">
      <w:pPr>
        <w:pBdr>
          <w:top w:val="none" w:color="auto" w:sz="0" w:space="0"/>
          <w:left w:val="none" w:color="auto" w:sz="0" w:space="0"/>
          <w:bottom w:val="none" w:color="auto" w:sz="0" w:space="0"/>
          <w:right w:val="none" w:color="auto" w:sz="0" w:space="0"/>
          <w:between w:val="none" w:color="auto" w:sz="0" w:space="0"/>
        </w:pBdr>
        <w:shd w:val="clear" w:fill="auto"/>
        <w:spacing w:before="480"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Following rule creation, Suricata's configuration test flag (-T) was executed to parse the custom rules and verify there were zero syntax errors.</w:t>
      </w:r>
    </w:p>
    <w:p w14:paraId="57404E9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3600" cy="1197610"/>
            <wp:effectExtent l="0" t="0" r="0" b="8890"/>
            <wp:docPr id="13" name="Picture 13" descr="day17_suricata_test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ay17_suricata_test_config"/>
                    <pic:cNvPicPr>
                      <a:picLocks noChangeAspect="1"/>
                    </pic:cNvPicPr>
                  </pic:nvPicPr>
                  <pic:blipFill>
                    <a:blip r:embed="rId14"/>
                    <a:stretch>
                      <a:fillRect/>
                    </a:stretch>
                  </pic:blipFill>
                  <pic:spPr>
                    <a:xfrm>
                      <a:off x="0" y="0"/>
                      <a:ext cx="5943600" cy="1197610"/>
                    </a:xfrm>
                    <a:prstGeom prst="rect">
                      <a:avLst/>
                    </a:prstGeom>
                  </pic:spPr>
                </pic:pic>
              </a:graphicData>
            </a:graphic>
          </wp:inline>
        </w:drawing>
      </w:r>
    </w:p>
    <w:p w14:paraId="0000004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9" w:name="_Toc7502"/>
      <w:r>
        <w:rPr>
          <w:rFonts w:hint="default" w:ascii="Calibri" w:hAnsi="Calibri" w:eastAsia="Arial" w:cs="Calibri"/>
          <w:color w:val="0B5FD1"/>
          <w:sz w:val="36"/>
          <w:szCs w:val="36"/>
          <w:rtl w:val="0"/>
        </w:rPr>
        <w:t>Threat Execution and Alert Verification</w:t>
      </w:r>
      <w:bookmarkEnd w:id="9"/>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To validate the rules, Suricata was started manually in the foreground, binding to both the loopback (lo) and primary (eth0) interfaces to capture local exploit attempts.</w:t>
      </w:r>
    </w:p>
    <w:p w14:paraId="5380E31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4133850" cy="787400"/>
            <wp:effectExtent l="0" t="0" r="6350" b="0"/>
            <wp:docPr id="14" name="Picture 14" descr="day17_suricata_start_foreground_lo_et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ay17_suricata_start_foreground_lo_eth0"/>
                    <pic:cNvPicPr>
                      <a:picLocks noChangeAspect="1"/>
                    </pic:cNvPicPr>
                  </pic:nvPicPr>
                  <pic:blipFill>
                    <a:blip r:embed="rId15"/>
                    <a:stretch>
                      <a:fillRect/>
                    </a:stretch>
                  </pic:blipFill>
                  <pic:spPr>
                    <a:xfrm>
                      <a:off x="0" y="0"/>
                      <a:ext cx="4133850" cy="787400"/>
                    </a:xfrm>
                    <a:prstGeom prst="rect">
                      <a:avLst/>
                    </a:prstGeom>
                  </pic:spPr>
                </pic:pic>
              </a:graphicData>
            </a:graphic>
          </wp:inline>
        </w:drawing>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A dummy Python HTTP server was spun up to ensure web exploit payloads would successfully traverse the network rather than immediately dropping.</w:t>
      </w:r>
    </w:p>
    <w:p w14:paraId="1ABB72D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2863850" cy="463550"/>
            <wp:effectExtent l="0" t="0" r="6350" b="6350"/>
            <wp:docPr id="15" name="Picture 15" descr="day17_start_python_http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ay17_start_python_http_server"/>
                    <pic:cNvPicPr>
                      <a:picLocks noChangeAspect="1"/>
                    </pic:cNvPicPr>
                  </pic:nvPicPr>
                  <pic:blipFill>
                    <a:blip r:embed="rId16"/>
                    <a:stretch>
                      <a:fillRect/>
                    </a:stretch>
                  </pic:blipFill>
                  <pic:spPr>
                    <a:xfrm>
                      <a:off x="0" y="0"/>
                      <a:ext cx="2863850" cy="463550"/>
                    </a:xfrm>
                    <a:prstGeom prst="rect">
                      <a:avLst/>
                    </a:prstGeom>
                  </pic:spPr>
                </pic:pic>
              </a:graphicData>
            </a:graphic>
          </wp:inline>
        </w:drawing>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three attacks were systematically launched against the target environment.</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b/>
          <w:bCs/>
          <w:color w:val="1F1F1F"/>
          <w:sz w:val="28"/>
          <w:szCs w:val="28"/>
        </w:rPr>
      </w:pPr>
      <w:r>
        <w:rPr>
          <w:rFonts w:hint="default" w:ascii="Calibri" w:hAnsi="Calibri" w:eastAsia="Arial" w:cs="Calibri"/>
          <w:b/>
          <w:bCs/>
          <w:color w:val="1F1F1F"/>
          <w:sz w:val="28"/>
          <w:szCs w:val="28"/>
          <w:rtl w:val="0"/>
        </w:rPr>
        <w:t>Attack 1: ICMP Flood (ping -f)</w:t>
      </w:r>
    </w:p>
    <w:p w14:paraId="187E26C7">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816350" cy="844550"/>
            <wp:effectExtent l="0" t="0" r="6350" b="6350"/>
            <wp:docPr id="16" name="Picture 16" descr="day17_test_icmp_fl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ay17_test_icmp_flood"/>
                    <pic:cNvPicPr>
                      <a:picLocks noChangeAspect="1"/>
                    </pic:cNvPicPr>
                  </pic:nvPicPr>
                  <pic:blipFill>
                    <a:blip r:embed="rId17"/>
                    <a:stretch>
                      <a:fillRect/>
                    </a:stretch>
                  </pic:blipFill>
                  <pic:spPr>
                    <a:xfrm>
                      <a:off x="0" y="0"/>
                      <a:ext cx="3816350" cy="844550"/>
                    </a:xfrm>
                    <a:prstGeom prst="rect">
                      <a:avLst/>
                    </a:prstGeom>
                  </pic:spPr>
                </pic:pic>
              </a:graphicData>
            </a:graphic>
          </wp:inline>
        </w:drawing>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b/>
          <w:bCs/>
          <w:color w:val="1F1F1F"/>
          <w:sz w:val="28"/>
          <w:szCs w:val="28"/>
        </w:rPr>
      </w:pPr>
      <w:r>
        <w:rPr>
          <w:rFonts w:hint="default" w:ascii="Calibri" w:hAnsi="Calibri" w:eastAsia="Arial" w:cs="Calibri"/>
          <w:b/>
          <w:bCs/>
          <w:color w:val="1F1F1F"/>
          <w:sz w:val="28"/>
          <w:szCs w:val="28"/>
          <w:rtl w:val="0"/>
        </w:rPr>
        <w:t>Attack 2: Nmap SYN Scan (nmap -sS)</w:t>
      </w:r>
    </w:p>
    <w:p w14:paraId="2D258AF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225800" cy="1035050"/>
            <wp:effectExtent l="0" t="0" r="0" b="6350"/>
            <wp:docPr id="17" name="Picture 17" descr="day17_test_nmap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ay17_test_nmap_scan"/>
                    <pic:cNvPicPr>
                      <a:picLocks noChangeAspect="1"/>
                    </pic:cNvPicPr>
                  </pic:nvPicPr>
                  <pic:blipFill>
                    <a:blip r:embed="rId18"/>
                    <a:stretch>
                      <a:fillRect/>
                    </a:stretch>
                  </pic:blipFill>
                  <pic:spPr>
                    <a:xfrm>
                      <a:off x="0" y="0"/>
                      <a:ext cx="3225800" cy="1035050"/>
                    </a:xfrm>
                    <a:prstGeom prst="rect">
                      <a:avLst/>
                    </a:prstGeom>
                  </pic:spPr>
                </pic:pic>
              </a:graphicData>
            </a:graphic>
          </wp:inline>
        </w:drawing>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b/>
          <w:bCs/>
          <w:color w:val="1F1F1F"/>
          <w:sz w:val="28"/>
          <w:szCs w:val="28"/>
        </w:rPr>
      </w:pPr>
      <w:r>
        <w:rPr>
          <w:rFonts w:hint="default" w:ascii="Calibri" w:hAnsi="Calibri" w:eastAsia="Arial" w:cs="Calibri"/>
          <w:b/>
          <w:bCs/>
          <w:color w:val="1F1F1F"/>
          <w:sz w:val="28"/>
          <w:szCs w:val="28"/>
          <w:rtl w:val="0"/>
        </w:rPr>
        <w:t>Attack 3: HTTP Exploit / Directory Traversal (wget)</w:t>
      </w:r>
    </w:p>
    <w:p w14:paraId="6C0F6EF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028950" cy="628650"/>
            <wp:effectExtent l="0" t="0" r="6350" b="6350"/>
            <wp:docPr id="18" name="Picture 18" descr="day17_test_wget_connection_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ay17_test_wget_connection_refused"/>
                    <pic:cNvPicPr>
                      <a:picLocks noChangeAspect="1"/>
                    </pic:cNvPicPr>
                  </pic:nvPicPr>
                  <pic:blipFill>
                    <a:blip r:embed="rId19"/>
                    <a:stretch>
                      <a:fillRect/>
                    </a:stretch>
                  </pic:blipFill>
                  <pic:spPr>
                    <a:xfrm>
                      <a:off x="0" y="0"/>
                      <a:ext cx="3028950" cy="628650"/>
                    </a:xfrm>
                    <a:prstGeom prst="rect">
                      <a:avLst/>
                    </a:prstGeom>
                  </pic:spPr>
                </pic:pic>
              </a:graphicData>
            </a:graphic>
          </wp:inline>
        </w:drawing>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fast.log output was queried to confirm the successful detection of all three threat scenarios.</w:t>
      </w:r>
    </w:p>
    <w:p w14:paraId="2D73ECA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1809750" cy="209550"/>
            <wp:effectExtent l="0" t="0" r="6350" b="6350"/>
            <wp:docPr id="19" name="Picture 19" descr="day17_cat_fast_log_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y17_cat_fast_log_command"/>
                    <pic:cNvPicPr>
                      <a:picLocks noChangeAspect="1"/>
                    </pic:cNvPicPr>
                  </pic:nvPicPr>
                  <pic:blipFill>
                    <a:blip r:embed="rId20"/>
                    <a:stretch>
                      <a:fillRect/>
                    </a:stretch>
                  </pic:blipFill>
                  <pic:spPr>
                    <a:xfrm>
                      <a:off x="0" y="0"/>
                      <a:ext cx="1809750" cy="209550"/>
                    </a:xfrm>
                    <a:prstGeom prst="rect">
                      <a:avLst/>
                    </a:prstGeom>
                  </pic:spPr>
                </pic:pic>
              </a:graphicData>
            </a:graphic>
          </wp:inline>
        </w:drawing>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ICMP Flood generated high-volume alerts grouped by the threshold limit.</w:t>
      </w:r>
    </w:p>
    <w:p w14:paraId="50D3CA9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7885" cy="1440180"/>
            <wp:effectExtent l="0" t="0" r="5715" b="7620"/>
            <wp:docPr id="20" name="Picture 20" descr="day17_fastlog_icmp_flood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ay17_fastlog_icmp_flood_alert"/>
                    <pic:cNvPicPr>
                      <a:picLocks noChangeAspect="1"/>
                    </pic:cNvPicPr>
                  </pic:nvPicPr>
                  <pic:blipFill>
                    <a:blip r:embed="rId21"/>
                    <a:stretch>
                      <a:fillRect/>
                    </a:stretch>
                  </pic:blipFill>
                  <pic:spPr>
                    <a:xfrm>
                      <a:off x="0" y="0"/>
                      <a:ext cx="5937885" cy="1440180"/>
                    </a:xfrm>
                    <a:prstGeom prst="rect">
                      <a:avLst/>
                    </a:prstGeom>
                  </pic:spPr>
                </pic:pic>
              </a:graphicData>
            </a:graphic>
          </wp:inline>
        </w:drawing>
      </w:r>
    </w:p>
    <w:p w14:paraId="0000005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Nmap scan correctly triggered a barrage of attempted reconnaissance alerts.</w:t>
      </w:r>
    </w:p>
    <w:p w14:paraId="1FC2FB5E">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5980" cy="1592580"/>
            <wp:effectExtent l="0" t="0" r="7620" b="7620"/>
            <wp:docPr id="21" name="Picture 21" descr="day17_fastlog_nmap_scan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ay17_fastlog_nmap_scan_alert"/>
                    <pic:cNvPicPr>
                      <a:picLocks noChangeAspect="1"/>
                    </pic:cNvPicPr>
                  </pic:nvPicPr>
                  <pic:blipFill>
                    <a:blip r:embed="rId22"/>
                    <a:stretch>
                      <a:fillRect/>
                    </a:stretch>
                  </pic:blipFill>
                  <pic:spPr>
                    <a:xfrm>
                      <a:off x="0" y="0"/>
                      <a:ext cx="5935980" cy="1592580"/>
                    </a:xfrm>
                    <a:prstGeom prst="rect">
                      <a:avLst/>
                    </a:prstGeom>
                  </pic:spPr>
                </pic:pic>
              </a:graphicData>
            </a:graphic>
          </wp:inline>
        </w:drawing>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Malicious HTTP rule successfully caught the wget web application attack.</w:t>
      </w:r>
    </w:p>
    <w:p w14:paraId="27B05CC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7250" cy="395605"/>
            <wp:effectExtent l="0" t="0" r="6350" b="10795"/>
            <wp:docPr id="22" name="Picture 22" descr="day17_fastlog_http_exploit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ay17_fastlog_http_exploit_alert"/>
                    <pic:cNvPicPr>
                      <a:picLocks noChangeAspect="1"/>
                    </pic:cNvPicPr>
                  </pic:nvPicPr>
                  <pic:blipFill>
                    <a:blip r:embed="rId23"/>
                    <a:stretch>
                      <a:fillRect/>
                    </a:stretch>
                  </pic:blipFill>
                  <pic:spPr>
                    <a:xfrm>
                      <a:off x="0" y="0"/>
                      <a:ext cx="5937250" cy="395605"/>
                    </a:xfrm>
                    <a:prstGeom prst="rect">
                      <a:avLst/>
                    </a:prstGeom>
                  </pic:spPr>
                </pic:pic>
              </a:graphicData>
            </a:graphic>
          </wp:inline>
        </w:drawing>
      </w:r>
    </w:p>
    <w:p w14:paraId="6CF98FC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44"/>
          <w:szCs w:val="44"/>
          <w:rtl w:val="0"/>
        </w:rPr>
      </w:pPr>
      <w:bookmarkStart w:id="10" w:name="_Toc29310"/>
    </w:p>
    <w:p w14:paraId="428464E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44"/>
          <w:szCs w:val="44"/>
          <w:rtl w:val="0"/>
        </w:rPr>
      </w:pPr>
    </w:p>
    <w:p w14:paraId="25A4F2F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44"/>
          <w:szCs w:val="44"/>
          <w:rtl w:val="0"/>
        </w:rPr>
      </w:pPr>
    </w:p>
    <w:p w14:paraId="746F6D99">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44"/>
          <w:szCs w:val="44"/>
          <w:rtl w:val="0"/>
        </w:rPr>
      </w:pPr>
    </w:p>
    <w:p w14:paraId="0000005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44"/>
          <w:szCs w:val="44"/>
        </w:rPr>
      </w:pPr>
      <w:r>
        <w:rPr>
          <w:rFonts w:hint="default" w:ascii="Calibri" w:hAnsi="Calibri" w:eastAsia="Arial" w:cs="Calibri"/>
          <w:color w:val="0B5FD1"/>
          <w:sz w:val="44"/>
          <w:szCs w:val="44"/>
          <w:rtl w:val="0"/>
        </w:rPr>
        <w:t>Days 18 and 19 — Suricata and Wazuh Integration</w:t>
      </w:r>
      <w:bookmarkEnd w:id="10"/>
    </w:p>
    <w:p w14:paraId="0000005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11" w:name="_Toc22"/>
      <w:r>
        <w:rPr>
          <w:rFonts w:hint="default" w:ascii="Calibri" w:hAnsi="Calibri" w:eastAsia="Arial" w:cs="Calibri"/>
          <w:color w:val="0B5FD1"/>
          <w:sz w:val="36"/>
          <w:szCs w:val="36"/>
          <w:rtl w:val="0"/>
        </w:rPr>
        <w:t>Log Forwarding and Troubleshooting</w:t>
      </w:r>
      <w:bookmarkEnd w:id="11"/>
    </w:p>
    <w:p w14:paraId="0000005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To unify network and host logs, the Wazuh agent on the Kali VM required configuration to read Suricata's structured JSON output. The agent configuration file was modified.</w:t>
      </w:r>
    </w:p>
    <w:p w14:paraId="50F2118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2025650" cy="247650"/>
            <wp:effectExtent l="0" t="0" r="6350" b="6350"/>
            <wp:docPr id="23" name="Picture 23" descr="day18_19_open_kali_ossec_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ay18_19_open_kali_ossec_conf"/>
                    <pic:cNvPicPr>
                      <a:picLocks noChangeAspect="1"/>
                    </pic:cNvPicPr>
                  </pic:nvPicPr>
                  <pic:blipFill>
                    <a:blip r:embed="rId24"/>
                    <a:stretch>
                      <a:fillRect/>
                    </a:stretch>
                  </pic:blipFill>
                  <pic:spPr>
                    <a:xfrm>
                      <a:off x="0" y="0"/>
                      <a:ext cx="2025650" cy="247650"/>
                    </a:xfrm>
                    <a:prstGeom prst="rect">
                      <a:avLst/>
                    </a:prstGeom>
                  </pic:spPr>
                </pic:pic>
              </a:graphicData>
            </a:graphic>
          </wp:inline>
        </w:drawing>
      </w:r>
    </w:p>
    <w:p w14:paraId="0000005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A &lt;localfile&gt; block was appended to /var/ossec/etc/ossec.conf. Crucially, the &lt;log_format&gt; was explicitly defined as json. If left as default (syslog), Wazuh would fail to map the parsed fields, breaking dashboard functionality.</w:t>
      </w:r>
    </w:p>
    <w:p w14:paraId="100BEA5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2501900" cy="444500"/>
            <wp:effectExtent l="0" t="0" r="0" b="0"/>
            <wp:docPr id="24" name="Picture 24" descr="day18_19_wazuh_agent_localfile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ay18_19_wazuh_agent_localfile_config"/>
                    <pic:cNvPicPr>
                      <a:picLocks noChangeAspect="1"/>
                    </pic:cNvPicPr>
                  </pic:nvPicPr>
                  <pic:blipFill>
                    <a:blip r:embed="rId25"/>
                    <a:stretch>
                      <a:fillRect/>
                    </a:stretch>
                  </pic:blipFill>
                  <pic:spPr>
                    <a:xfrm>
                      <a:off x="0" y="0"/>
                      <a:ext cx="2501900" cy="444500"/>
                    </a:xfrm>
                    <a:prstGeom prst="rect">
                      <a:avLst/>
                    </a:prstGeom>
                  </pic:spPr>
                </pic:pic>
              </a:graphicData>
            </a:graphic>
          </wp:inline>
        </w:drawing>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Wazuh agent was restarted to apply the new log ingestion pipeline.</w:t>
      </w:r>
    </w:p>
    <w:p w14:paraId="1FFAC7D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1949450" cy="215900"/>
            <wp:effectExtent l="0" t="0" r="6350" b="0"/>
            <wp:docPr id="25" name="Picture 25" descr="day18_19_restart_kali_wazuh_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ay18_19_restart_kali_wazuh_agent"/>
                    <pic:cNvPicPr>
                      <a:picLocks noChangeAspect="1"/>
                    </pic:cNvPicPr>
                  </pic:nvPicPr>
                  <pic:blipFill>
                    <a:blip r:embed="rId26"/>
                    <a:stretch>
                      <a:fillRect/>
                    </a:stretch>
                  </pic:blipFill>
                  <pic:spPr>
                    <a:xfrm>
                      <a:off x="0" y="0"/>
                      <a:ext cx="1949450" cy="215900"/>
                    </a:xfrm>
                    <a:prstGeom prst="rect">
                      <a:avLst/>
                    </a:prstGeom>
                  </pic:spPr>
                </pic:pic>
              </a:graphicData>
            </a:graphic>
          </wp:inline>
        </w:drawing>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To verify Suricata was outputting properly formatted data to the pipeline source, the eve.json file was queried.</w:t>
      </w:r>
    </w:p>
    <w:p w14:paraId="088691D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1060" cy="1902460"/>
            <wp:effectExtent l="0" t="0" r="2540" b="2540"/>
            <wp:docPr id="26" name="Picture 26" descr="day18_19_tail_eve_json_verify_lo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ay18_19_tail_eve_json_verify_logging"/>
                    <pic:cNvPicPr>
                      <a:picLocks noChangeAspect="1"/>
                    </pic:cNvPicPr>
                  </pic:nvPicPr>
                  <pic:blipFill>
                    <a:blip r:embed="rId27"/>
                    <a:srcRect b="25609"/>
                    <a:stretch>
                      <a:fillRect/>
                    </a:stretch>
                  </pic:blipFill>
                  <pic:spPr>
                    <a:xfrm>
                      <a:off x="0" y="0"/>
                      <a:ext cx="5941060" cy="1902460"/>
                    </a:xfrm>
                    <a:prstGeom prst="rect">
                      <a:avLst/>
                    </a:prstGeom>
                  </pic:spPr>
                </pic:pic>
              </a:graphicData>
            </a:graphic>
          </wp:inline>
        </w:drawing>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raw JSON payload for the ICMP flood confirmed proper metadata generation.</w:t>
      </w:r>
    </w:p>
    <w:p w14:paraId="1F501F1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2805" cy="715645"/>
            <wp:effectExtent l="0" t="0" r="10795" b="8255"/>
            <wp:docPr id="27" name="Picture 27" descr="day18_19_grep_eve_json_i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ay18_19_grep_eve_json_icmp"/>
                    <pic:cNvPicPr>
                      <a:picLocks noChangeAspect="1"/>
                    </pic:cNvPicPr>
                  </pic:nvPicPr>
                  <pic:blipFill>
                    <a:blip r:embed="rId28"/>
                    <a:stretch>
                      <a:fillRect/>
                    </a:stretch>
                  </pic:blipFill>
                  <pic:spPr>
                    <a:xfrm>
                      <a:off x="0" y="0"/>
                      <a:ext cx="5932805" cy="715645"/>
                    </a:xfrm>
                    <a:prstGeom prst="rect">
                      <a:avLst/>
                    </a:prstGeom>
                  </pic:spPr>
                </pic:pic>
              </a:graphicData>
            </a:graphic>
          </wp:inline>
        </w:drawing>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raw JSON payload for the Nmap scan successfully captured the flow data.</w:t>
      </w:r>
    </w:p>
    <w:p w14:paraId="33FECFF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3600" cy="909955"/>
            <wp:effectExtent l="0" t="0" r="0" b="4445"/>
            <wp:docPr id="28" name="Picture 28" descr="day18_19_grep_eve_json_n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ay18_19_grep_eve_json_nmap"/>
                    <pic:cNvPicPr>
                      <a:picLocks noChangeAspect="1"/>
                    </pic:cNvPicPr>
                  </pic:nvPicPr>
                  <pic:blipFill>
                    <a:blip r:embed="rId29"/>
                    <a:stretch>
                      <a:fillRect/>
                    </a:stretch>
                  </pic:blipFill>
                  <pic:spPr>
                    <a:xfrm>
                      <a:off x="0" y="0"/>
                      <a:ext cx="5943600" cy="909955"/>
                    </a:xfrm>
                    <a:prstGeom prst="rect">
                      <a:avLst/>
                    </a:prstGeom>
                  </pic:spPr>
                </pic:pic>
              </a:graphicData>
            </a:graphic>
          </wp:inline>
        </w:drawing>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A specific HTTP exploit JSON object was extracted for debugging purposes.</w:t>
      </w:r>
    </w:p>
    <w:p w14:paraId="1D7238B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1695" cy="294640"/>
            <wp:effectExtent l="0" t="0" r="1905" b="10160"/>
            <wp:docPr id="29" name="Picture 29" descr="day18_19_eve_json_http_alert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ay18_19_eve_json_http_alert_detail"/>
                    <pic:cNvPicPr>
                      <a:picLocks noChangeAspect="1"/>
                    </pic:cNvPicPr>
                  </pic:nvPicPr>
                  <pic:blipFill>
                    <a:blip r:embed="rId30"/>
                    <a:stretch>
                      <a:fillRect/>
                    </a:stretch>
                  </pic:blipFill>
                  <pic:spPr>
                    <a:xfrm>
                      <a:off x="0" y="0"/>
                      <a:ext cx="5941695" cy="294640"/>
                    </a:xfrm>
                    <a:prstGeom prst="rect">
                      <a:avLst/>
                    </a:prstGeom>
                  </pic:spPr>
                </pic:pic>
              </a:graphicData>
            </a:graphic>
          </wp:inline>
        </w:drawing>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Pipeline Troubleshooting:</w:t>
      </w:r>
      <w:r>
        <w:rPr>
          <w:rFonts w:hint="default" w:ascii="Calibri" w:hAnsi="Calibri" w:eastAsia="Arial" w:cs="Calibri"/>
          <w:color w:val="1F1F1F"/>
          <w:sz w:val="28"/>
          <w:szCs w:val="28"/>
          <w:rtl w:val="0"/>
        </w:rPr>
        <w:t xml:space="preserve"> Initially, the alerts failed to appear in the Wazuh dashboard. The wazuh-logtest utility was utilized to simulate the Manager's decoding engine. An initial user error occurred by pasting the literal grep command into the utility, causing a Phase 2 decoding failure.</w:t>
      </w:r>
    </w:p>
    <w:p w14:paraId="124FDEC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7250" cy="1785620"/>
            <wp:effectExtent l="0" t="0" r="6350" b="5080"/>
            <wp:docPr id="30" name="Picture 30" descr="day18_19_wazuh_logtest_fail_pasted_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ay18_19_wazuh_logtest_fail_pasted_command"/>
                    <pic:cNvPicPr>
                      <a:picLocks noChangeAspect="1"/>
                    </pic:cNvPicPr>
                  </pic:nvPicPr>
                  <pic:blipFill>
                    <a:blip r:embed="rId31"/>
                    <a:stretch>
                      <a:fillRect/>
                    </a:stretch>
                  </pic:blipFill>
                  <pic:spPr>
                    <a:xfrm>
                      <a:off x="0" y="0"/>
                      <a:ext cx="5937250" cy="1785620"/>
                    </a:xfrm>
                    <a:prstGeom prst="rect">
                      <a:avLst/>
                    </a:prstGeom>
                  </pic:spPr>
                </pic:pic>
              </a:graphicData>
            </a:graphic>
          </wp:inline>
        </w:drawing>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Upon pasting the raw JSON payload, the Suricata decoder successfully parsed the JSON strings in Phase 2.</w:t>
      </w:r>
    </w:p>
    <w:p w14:paraId="2E8C57E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1060" cy="2047240"/>
            <wp:effectExtent l="0" t="0" r="2540" b="10160"/>
            <wp:docPr id="31" name="Picture 31" descr="day18_19_wazuh_logtest_success_json_deco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ay18_19_wazuh_logtest_success_json_decoded"/>
                    <pic:cNvPicPr>
                      <a:picLocks noChangeAspect="1"/>
                    </pic:cNvPicPr>
                  </pic:nvPicPr>
                  <pic:blipFill>
                    <a:blip r:embed="rId32"/>
                    <a:stretch>
                      <a:fillRect/>
                    </a:stretch>
                  </pic:blipFill>
                  <pic:spPr>
                    <a:xfrm>
                      <a:off x="0" y="0"/>
                      <a:ext cx="5941060" cy="2047240"/>
                    </a:xfrm>
                    <a:prstGeom prst="rect">
                      <a:avLst/>
                    </a:prstGeom>
                  </pic:spPr>
                </pic:pic>
              </a:graphicData>
            </a:graphic>
          </wp:inline>
        </w:drawing>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Phase 3 filtering revealed the root cause: The default Wazuh rule for Suricata (86601) assigns a level: 3 priority to these events. By default, the Wazuh dashboard only surfaces alerts of Level 4 or higher, burying the network detections as informational background noise.</w:t>
      </w:r>
    </w:p>
    <w:p w14:paraId="2C5A524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3600" cy="1088390"/>
            <wp:effectExtent l="0" t="0" r="0" b="3810"/>
            <wp:docPr id="32" name="Picture 32" descr="day18_19_wazuh_logtest_phase3_lev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ay18_19_wazuh_logtest_phase3_level3"/>
                    <pic:cNvPicPr>
                      <a:picLocks noChangeAspect="1"/>
                    </pic:cNvPicPr>
                  </pic:nvPicPr>
                  <pic:blipFill>
                    <a:blip r:embed="rId33"/>
                    <a:stretch>
                      <a:fillRect/>
                    </a:stretch>
                  </pic:blipFill>
                  <pic:spPr>
                    <a:xfrm>
                      <a:off x="0" y="0"/>
                      <a:ext cx="5943600" cy="1088390"/>
                    </a:xfrm>
                    <a:prstGeom prst="rect">
                      <a:avLst/>
                    </a:prstGeom>
                  </pic:spPr>
                </pic:pic>
              </a:graphicData>
            </a:graphic>
          </wp:inline>
        </w:drawing>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To rectify this, a local rule override was authored on the Wazuh Manager.</w:t>
      </w:r>
    </w:p>
    <w:p w14:paraId="6B9430E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3600" cy="219710"/>
            <wp:effectExtent l="0" t="0" r="0" b="8890"/>
            <wp:docPr id="33" name="Picture 33" descr="day18_19_open_wazuh_local_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ay18_19_open_wazuh_local_rules"/>
                    <pic:cNvPicPr>
                      <a:picLocks noChangeAspect="1"/>
                    </pic:cNvPicPr>
                  </pic:nvPicPr>
                  <pic:blipFill>
                    <a:blip r:embed="rId34"/>
                    <a:stretch>
                      <a:fillRect/>
                    </a:stretch>
                  </pic:blipFill>
                  <pic:spPr>
                    <a:xfrm>
                      <a:off x="0" y="0"/>
                      <a:ext cx="5943600" cy="219710"/>
                    </a:xfrm>
                    <a:prstGeom prst="rect">
                      <a:avLst/>
                    </a:prstGeom>
                  </pic:spPr>
                </pic:pic>
              </a:graphicData>
            </a:graphic>
          </wp:inline>
        </w:drawing>
      </w:r>
    </w:p>
    <w:p w14:paraId="0000007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Rule 100050 was created to catch any log matching the Suricata base rule (if_sid: 86601) that contained the string "CUSTOM", automatically escalating it to a critical Level 10.</w:t>
      </w:r>
    </w:p>
    <w:p w14:paraId="7EE3E92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7885" cy="784860"/>
            <wp:effectExtent l="0" t="0" r="5715" b="2540"/>
            <wp:docPr id="34" name="Picture 34" descr="day18_19_custom_wazuh_rule_leve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ay18_19_custom_wazuh_rule_level10"/>
                    <pic:cNvPicPr>
                      <a:picLocks noChangeAspect="1"/>
                    </pic:cNvPicPr>
                  </pic:nvPicPr>
                  <pic:blipFill>
                    <a:blip r:embed="rId35"/>
                    <a:stretch>
                      <a:fillRect/>
                    </a:stretch>
                  </pic:blipFill>
                  <pic:spPr>
                    <a:xfrm>
                      <a:off x="0" y="0"/>
                      <a:ext cx="5937885" cy="784860"/>
                    </a:xfrm>
                    <a:prstGeom prst="rect">
                      <a:avLst/>
                    </a:prstGeom>
                  </pic:spPr>
                </pic:pic>
              </a:graphicData>
            </a:graphic>
          </wp:inline>
        </w:drawing>
      </w:r>
    </w:p>
    <w:p w14:paraId="00000072">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12" w:name="_Toc15106"/>
      <w:r>
        <w:rPr>
          <w:rFonts w:hint="default" w:ascii="Calibri" w:hAnsi="Calibri" w:eastAsia="Arial" w:cs="Calibri"/>
          <w:color w:val="0B5FD1"/>
          <w:sz w:val="36"/>
          <w:szCs w:val="36"/>
          <w:rtl w:val="0"/>
        </w:rPr>
        <w:t>Dashboard Verification</w:t>
      </w:r>
      <w:bookmarkEnd w:id="12"/>
    </w:p>
    <w:p w14:paraId="00000073">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Following the Manager restart, the attacks were relaunched. The custom rules successfully bypassed the filtering threshold and populated the Security Events dashboard with fully parsed JSON fields.</w:t>
      </w:r>
    </w:p>
    <w:p w14:paraId="0000007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Dashboard View: ICMP Flood</w:t>
      </w:r>
    </w:p>
    <w:p w14:paraId="6DADB9B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1060" cy="2232660"/>
            <wp:effectExtent l="0" t="0" r="2540" b="2540"/>
            <wp:docPr id="35" name="Picture 35" descr="day18_19_wazuh_dashboard_icmp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ay18_19_wazuh_dashboard_icmp_alert"/>
                    <pic:cNvPicPr>
                      <a:picLocks noChangeAspect="1"/>
                    </pic:cNvPicPr>
                  </pic:nvPicPr>
                  <pic:blipFill>
                    <a:blip r:embed="rId36"/>
                    <a:stretch>
                      <a:fillRect/>
                    </a:stretch>
                  </pic:blipFill>
                  <pic:spPr>
                    <a:xfrm>
                      <a:off x="0" y="0"/>
                      <a:ext cx="5941060" cy="2232660"/>
                    </a:xfrm>
                    <a:prstGeom prst="rect">
                      <a:avLst/>
                    </a:prstGeom>
                  </pic:spPr>
                </pic:pic>
              </a:graphicData>
            </a:graphic>
          </wp:inline>
        </w:drawing>
      </w:r>
    </w:p>
    <w:p w14:paraId="0000007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b/>
          <w:bCs/>
          <w:color w:val="1F1F1F"/>
          <w:sz w:val="28"/>
          <w:szCs w:val="28"/>
        </w:rPr>
      </w:pPr>
      <w:r>
        <w:rPr>
          <w:rFonts w:hint="default" w:ascii="Calibri" w:hAnsi="Calibri" w:eastAsia="Arial" w:cs="Calibri"/>
          <w:b/>
          <w:bCs/>
          <w:color w:val="1F1F1F"/>
          <w:sz w:val="28"/>
          <w:szCs w:val="28"/>
          <w:rtl w:val="0"/>
        </w:rPr>
        <w:t>Dashboard View: Malicious HTTP Request</w:t>
      </w:r>
    </w:p>
    <w:p w14:paraId="5897620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9790" cy="2511425"/>
            <wp:effectExtent l="0" t="0" r="3810" b="3175"/>
            <wp:docPr id="37" name="Picture 37" descr="day18_19_wazuh_dashboard_http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ay18_19_wazuh_dashboard_http_alert"/>
                    <pic:cNvPicPr>
                      <a:picLocks noChangeAspect="1"/>
                    </pic:cNvPicPr>
                  </pic:nvPicPr>
                  <pic:blipFill>
                    <a:blip r:embed="rId37"/>
                    <a:stretch>
                      <a:fillRect/>
                    </a:stretch>
                  </pic:blipFill>
                  <pic:spPr>
                    <a:xfrm>
                      <a:off x="0" y="0"/>
                      <a:ext cx="5939790" cy="2511425"/>
                    </a:xfrm>
                    <a:prstGeom prst="rect">
                      <a:avLst/>
                    </a:prstGeom>
                  </pic:spPr>
                </pic:pic>
              </a:graphicData>
            </a:graphic>
          </wp:inline>
        </w:drawing>
      </w:r>
    </w:p>
    <w:p w14:paraId="0EB0ADAF">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b/>
          <w:bCs/>
          <w:color w:val="1F1F1F"/>
          <w:sz w:val="28"/>
          <w:szCs w:val="28"/>
          <w:rtl w:val="0"/>
        </w:rPr>
      </w:pPr>
    </w:p>
    <w:p w14:paraId="0000007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Dashboard View: Nmap TCP SYN Scan</w:t>
      </w:r>
    </w:p>
    <w:p w14:paraId="731D11B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rPr>
      </w:pPr>
      <w:r>
        <w:rPr>
          <w:rFonts w:hint="default" w:ascii="Calibri" w:hAnsi="Calibri" w:eastAsia="Arial" w:cs="Calibri"/>
          <w:color w:val="1F1F1F"/>
          <w:sz w:val="28"/>
          <w:szCs w:val="28"/>
          <w:rtl w:val="0"/>
          <w:lang w:val="en-US"/>
        </w:rPr>
        <w:drawing>
          <wp:inline distT="0" distB="0" distL="114300" distR="114300">
            <wp:extent cx="5937250" cy="2330450"/>
            <wp:effectExtent l="0" t="0" r="6350" b="6350"/>
            <wp:docPr id="36" name="Picture 36" descr="day18_19_wazuh_dashboard_nmap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ay18_19_wazuh_dashboard_nmap_alert"/>
                    <pic:cNvPicPr>
                      <a:picLocks noChangeAspect="1"/>
                    </pic:cNvPicPr>
                  </pic:nvPicPr>
                  <pic:blipFill>
                    <a:blip r:embed="rId38"/>
                    <a:stretch>
                      <a:fillRect/>
                    </a:stretch>
                  </pic:blipFill>
                  <pic:spPr>
                    <a:xfrm>
                      <a:off x="0" y="0"/>
                      <a:ext cx="5937250" cy="2330450"/>
                    </a:xfrm>
                    <a:prstGeom prst="rect">
                      <a:avLst/>
                    </a:prstGeom>
                  </pic:spPr>
                </pic:pic>
              </a:graphicData>
            </a:graphic>
          </wp:inline>
        </w:drawing>
      </w:r>
    </w:p>
    <w:p w14:paraId="0000007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13" w:name="_Toc32144"/>
      <w:r>
        <w:rPr>
          <w:rFonts w:hint="default" w:ascii="Calibri" w:hAnsi="Calibri" w:eastAsia="Arial" w:cs="Calibri"/>
          <w:color w:val="0B5FD1"/>
          <w:sz w:val="36"/>
          <w:szCs w:val="36"/>
          <w:rtl w:val="0"/>
        </w:rPr>
        <w:t>Event Correlation Analysis</w:t>
      </w:r>
      <w:bookmarkEnd w:id="13"/>
    </w:p>
    <w:p w14:paraId="0000007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true power of integrating a NIDS into a SIEM is the ability to correlate an attack across both the network and the host layers to build a complete narrative.</w:t>
      </w:r>
    </w:p>
    <w:p w14:paraId="0000007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To demonstrate this, an Nmap scan was launched against the Ubuntu Server (192.168.56.104) to trigger a network reconnaissance alert.</w:t>
      </w:r>
    </w:p>
    <w:p w14:paraId="21A8790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4133850" cy="1339850"/>
            <wp:effectExtent l="0" t="0" r="6350" b="6350"/>
            <wp:docPr id="38" name="Picture 38" descr="day19_correlation_nmap_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ay19_correlation_nmap_target"/>
                    <pic:cNvPicPr>
                      <a:picLocks noChangeAspect="1"/>
                    </pic:cNvPicPr>
                  </pic:nvPicPr>
                  <pic:blipFill>
                    <a:blip r:embed="rId39"/>
                    <a:stretch>
                      <a:fillRect/>
                    </a:stretch>
                  </pic:blipFill>
                  <pic:spPr>
                    <a:xfrm>
                      <a:off x="0" y="0"/>
                      <a:ext cx="4133850" cy="1339850"/>
                    </a:xfrm>
                    <a:prstGeom prst="rect">
                      <a:avLst/>
                    </a:prstGeom>
                  </pic:spPr>
                </pic:pic>
              </a:graphicData>
            </a:graphic>
          </wp:inline>
        </w:drawing>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Immediately following the scan, an SSH session was established with the target server, and a malicious script (/etc/malicious_backdoor.sh) was created to trigger a Wazuh File Integrity Monitoring (FIM) alert.</w:t>
      </w:r>
    </w:p>
    <w:p w14:paraId="398DEEDB">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778250" cy="3200400"/>
            <wp:effectExtent l="0" t="0" r="6350" b="0"/>
            <wp:docPr id="39" name="Picture 39" descr="day19_correlation_create_fim_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ay19_correlation_create_fim_file"/>
                    <pic:cNvPicPr>
                      <a:picLocks noChangeAspect="1"/>
                    </pic:cNvPicPr>
                  </pic:nvPicPr>
                  <pic:blipFill>
                    <a:blip r:embed="rId40"/>
                    <a:stretch>
                      <a:fillRect/>
                    </a:stretch>
                  </pic:blipFill>
                  <pic:spPr>
                    <a:xfrm>
                      <a:off x="0" y="0"/>
                      <a:ext cx="3778250" cy="3200400"/>
                    </a:xfrm>
                    <a:prstGeom prst="rect">
                      <a:avLst/>
                    </a:prstGeom>
                  </pic:spPr>
                </pic:pic>
              </a:graphicData>
            </a:graphic>
          </wp:inline>
        </w:drawing>
      </w:r>
    </w:p>
    <w:p w14:paraId="00000080">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Nmap network event correctly logged the targeted behavior.</w:t>
      </w:r>
    </w:p>
    <w:p w14:paraId="65718B4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42965" cy="2491740"/>
            <wp:effectExtent l="0" t="0" r="635" b="10160"/>
            <wp:docPr id="40" name="Picture 40" descr="day19_correlation_network_alert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ay19_correlation_network_alert_detail"/>
                    <pic:cNvPicPr>
                      <a:picLocks noChangeAspect="1"/>
                    </pic:cNvPicPr>
                  </pic:nvPicPr>
                  <pic:blipFill>
                    <a:blip r:embed="rId41"/>
                    <a:stretch>
                      <a:fillRect/>
                    </a:stretch>
                  </pic:blipFill>
                  <pic:spPr>
                    <a:xfrm>
                      <a:off x="0" y="0"/>
                      <a:ext cx="5942965" cy="2491740"/>
                    </a:xfrm>
                    <a:prstGeom prst="rect">
                      <a:avLst/>
                    </a:prstGeom>
                  </pic:spPr>
                </pic:pic>
              </a:graphicData>
            </a:graphic>
          </wp:inline>
        </w:drawing>
      </w:r>
    </w:p>
    <w:p w14:paraId="0000008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By filtering the Threat Hunting dashboard by the Ubuntu Server, both events were viewed simultaneously on a unified timeline.</w:t>
      </w:r>
    </w:p>
    <w:p w14:paraId="205A958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4710" cy="272415"/>
            <wp:effectExtent l="0" t="0" r="8890" b="6985"/>
            <wp:docPr id="41" name="Picture 41" descr="day19_correlation_side_by_side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ay19_correlation_side_by_side_view"/>
                    <pic:cNvPicPr>
                      <a:picLocks noChangeAspect="1"/>
                    </pic:cNvPicPr>
                  </pic:nvPicPr>
                  <pic:blipFill>
                    <a:blip r:embed="rId42"/>
                    <a:stretch>
                      <a:fillRect/>
                    </a:stretch>
                  </pic:blipFill>
                  <pic:spPr>
                    <a:xfrm>
                      <a:off x="0" y="0"/>
                      <a:ext cx="5934710" cy="272415"/>
                    </a:xfrm>
                    <a:prstGeom prst="rect">
                      <a:avLst/>
                    </a:prstGeom>
                  </pic:spPr>
                </pic:pic>
              </a:graphicData>
            </a:graphic>
          </wp:inline>
        </w:drawing>
      </w:r>
    </w:p>
    <w:p w14:paraId="0000008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Correlation Conclusion:</w:t>
      </w:r>
      <w:r>
        <w:rPr>
          <w:rFonts w:hint="default" w:ascii="Calibri" w:hAnsi="Calibri" w:eastAsia="Arial" w:cs="Calibri"/>
          <w:color w:val="1F1F1F"/>
          <w:sz w:val="28"/>
          <w:szCs w:val="28"/>
          <w:rtl w:val="0"/>
        </w:rPr>
        <w:t xml:space="preserve"> On its own, the Suricata alert only indicates reconnaissance; it does not confirm a breach. On its own, the Wazuh FIM alert shows a system change, but doesn't explain how the attacker identified the target. By correlating these alerts in a single pane of glass, a complete attack narrative emerges: The attacker mapped the server's open ports via a SYN scan, successfully authenticated, and established persistence by dropping a payload into a sensitive directory. Without both tools, the SOC would operate with a critical blind spot.</w:t>
      </w:r>
    </w:p>
    <w:p w14:paraId="0000008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44"/>
          <w:szCs w:val="44"/>
        </w:rPr>
      </w:pPr>
      <w:bookmarkStart w:id="14" w:name="_Toc16547"/>
      <w:r>
        <w:rPr>
          <w:rFonts w:hint="default" w:ascii="Calibri" w:hAnsi="Calibri" w:eastAsia="Arial" w:cs="Calibri"/>
          <w:color w:val="0B5FD1"/>
          <w:sz w:val="44"/>
          <w:szCs w:val="44"/>
          <w:rtl w:val="0"/>
        </w:rPr>
        <w:t>Days 20 and 21 — GeoIP Blocking and Firewall Rules</w:t>
      </w:r>
      <w:bookmarkEnd w:id="14"/>
    </w:p>
    <w:p w14:paraId="0000008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The final phase shifted from active detection to perimeter defense. GeoIP blocking was implemented to universally drop traffic originating from specific geographic regions that hold no legitimate business case for accessing the network.</w:t>
      </w:r>
    </w:p>
    <w:p w14:paraId="0000008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15" w:name="_Toc26919"/>
      <w:r>
        <w:rPr>
          <w:rFonts w:hint="default" w:ascii="Calibri" w:hAnsi="Calibri" w:eastAsia="Arial" w:cs="Calibri"/>
          <w:color w:val="0B5FD1"/>
          <w:sz w:val="36"/>
          <w:szCs w:val="36"/>
          <w:rtl w:val="0"/>
        </w:rPr>
        <w:t>Implementing GeoIP Restrictions</w:t>
      </w:r>
      <w:bookmarkEnd w:id="15"/>
    </w:p>
    <w:p w14:paraId="0000008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rPr>
      </w:pPr>
      <w:r>
        <w:rPr>
          <w:rFonts w:hint="default" w:ascii="Calibri" w:hAnsi="Calibri" w:eastAsia="Arial" w:cs="Calibri"/>
          <w:color w:val="1F1F1F"/>
          <w:sz w:val="28"/>
          <w:szCs w:val="28"/>
          <w:rtl w:val="0"/>
        </w:rPr>
        <w:t>The required kernel-level tools (iptables, ipset, and xtables-addons-common) were installed.</w:t>
      </w:r>
    </w:p>
    <w:p w14:paraId="0210245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4076700" cy="1085850"/>
            <wp:effectExtent l="0" t="0" r="0" b="6350"/>
            <wp:docPr id="42" name="Picture 42" descr="day20_21_apt_install_iptables_ip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ay20_21_apt_install_iptables_ipset"/>
                    <pic:cNvPicPr>
                      <a:picLocks noChangeAspect="1"/>
                    </pic:cNvPicPr>
                  </pic:nvPicPr>
                  <pic:blipFill>
                    <a:blip r:embed="rId43"/>
                    <a:stretch>
                      <a:fillRect/>
                    </a:stretch>
                  </pic:blipFill>
                  <pic:spPr>
                    <a:xfrm>
                      <a:off x="0" y="0"/>
                      <a:ext cx="4076700" cy="1085850"/>
                    </a:xfrm>
                    <a:prstGeom prst="rect">
                      <a:avLst/>
                    </a:prstGeom>
                  </pic:spPr>
                </pic:pic>
              </a:graphicData>
            </a:graphic>
          </wp:inline>
        </w:drawing>
      </w:r>
    </w:p>
    <w:p w14:paraId="7C9EC2F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rPr>
      </w:pPr>
    </w:p>
    <w:p w14:paraId="0000008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A raw zone file containing over 8,000 subnets allocated to China (cn.zone) was downloaded from ipdeny.com.</w:t>
      </w:r>
    </w:p>
    <w:p w14:paraId="0AE29DD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935980" cy="666750"/>
            <wp:effectExtent l="0" t="0" r="7620" b="6350"/>
            <wp:docPr id="43" name="Picture 43" descr="day20_21_wget_cn_zone_blo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ay20_21_wget_cn_zone_blocklist"/>
                    <pic:cNvPicPr>
                      <a:picLocks noChangeAspect="1"/>
                    </pic:cNvPicPr>
                  </pic:nvPicPr>
                  <pic:blipFill>
                    <a:blip r:embed="rId44"/>
                    <a:stretch>
                      <a:fillRect/>
                    </a:stretch>
                  </pic:blipFill>
                  <pic:spPr>
                    <a:xfrm>
                      <a:off x="0" y="0"/>
                      <a:ext cx="5935980" cy="666750"/>
                    </a:xfrm>
                    <a:prstGeom prst="rect">
                      <a:avLst/>
                    </a:prstGeom>
                  </pic:spPr>
                </pic:pic>
              </a:graphicData>
            </a:graphic>
          </wp:inline>
        </w:drawing>
      </w:r>
    </w:p>
    <w:p w14:paraId="0000008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rPr>
      </w:pPr>
      <w:r>
        <w:rPr>
          <w:rFonts w:hint="default" w:ascii="Calibri" w:hAnsi="Calibri" w:eastAsia="Arial" w:cs="Calibri"/>
          <w:color w:val="1F1F1F"/>
          <w:sz w:val="28"/>
          <w:szCs w:val="28"/>
          <w:rtl w:val="0"/>
        </w:rPr>
        <w:t>A dedicated ipset bucket (block_cn) was initialized in the kernel to hold the target addresses.</w:t>
      </w:r>
    </w:p>
    <w:p w14:paraId="14DA142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2063750" cy="349250"/>
            <wp:effectExtent l="0" t="0" r="6350" b="6350"/>
            <wp:docPr id="44" name="Picture 44" descr="day20_21_ipset_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ay20_21_ipset_create"/>
                    <pic:cNvPicPr>
                      <a:picLocks noChangeAspect="1"/>
                    </pic:cNvPicPr>
                  </pic:nvPicPr>
                  <pic:blipFill>
                    <a:blip r:embed="rId45"/>
                    <a:stretch>
                      <a:fillRect/>
                    </a:stretch>
                  </pic:blipFill>
                  <pic:spPr>
                    <a:xfrm>
                      <a:off x="0" y="0"/>
                      <a:ext cx="2063750" cy="349250"/>
                    </a:xfrm>
                    <a:prstGeom prst="rect">
                      <a:avLst/>
                    </a:prstGeom>
                  </pic:spPr>
                </pic:pic>
              </a:graphicData>
            </a:graphic>
          </wp:inline>
        </w:drawing>
      </w:r>
    </w:p>
    <w:p w14:paraId="0000008E">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i/>
          <w:iCs/>
          <w:color w:val="1F1F1F"/>
          <w:sz w:val="28"/>
          <w:szCs w:val="28"/>
        </w:rPr>
      </w:pPr>
      <w:r>
        <w:rPr>
          <w:rFonts w:hint="default" w:ascii="Calibri" w:hAnsi="Calibri" w:eastAsia="Arial" w:cs="Calibri"/>
          <w:color w:val="1F1F1F"/>
          <w:sz w:val="28"/>
          <w:szCs w:val="28"/>
          <w:rtl w:val="0"/>
        </w:rPr>
        <w:t xml:space="preserve">A for loop was executed to iterate through the text file and push all 8,000+ CIDR blocks into the ipset. </w:t>
      </w:r>
      <w:r>
        <w:rPr>
          <w:rFonts w:hint="default" w:ascii="Calibri" w:hAnsi="Calibri" w:eastAsia="Arial" w:cs="Calibri"/>
          <w:i/>
          <w:iCs/>
          <w:color w:val="1F1F1F"/>
          <w:sz w:val="28"/>
          <w:szCs w:val="28"/>
          <w:rtl w:val="0"/>
        </w:rPr>
        <w:t>(Note: In a production environment, ipset restore is preferred to bypass the significant time delay of iterative loop injection).</w:t>
      </w:r>
    </w:p>
    <w:p w14:paraId="0B5BCAD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352800" cy="311150"/>
            <wp:effectExtent l="0" t="0" r="0" b="6350"/>
            <wp:docPr id="45" name="Picture 45" descr="day20_21_ipset_populate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ay20_21_ipset_populate_loop"/>
                    <pic:cNvPicPr>
                      <a:picLocks noChangeAspect="1"/>
                    </pic:cNvPicPr>
                  </pic:nvPicPr>
                  <pic:blipFill>
                    <a:blip r:embed="rId46"/>
                    <a:stretch>
                      <a:fillRect/>
                    </a:stretch>
                  </pic:blipFill>
                  <pic:spPr>
                    <a:xfrm>
                      <a:off x="0" y="0"/>
                      <a:ext cx="3352800" cy="311150"/>
                    </a:xfrm>
                    <a:prstGeom prst="rect">
                      <a:avLst/>
                    </a:prstGeom>
                  </pic:spPr>
                </pic:pic>
              </a:graphicData>
            </a:graphic>
          </wp:inline>
        </w:drawing>
      </w:r>
    </w:p>
    <w:p w14:paraId="0000009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rPr>
      </w:pPr>
      <w:r>
        <w:rPr>
          <w:rFonts w:hint="default" w:ascii="Calibri" w:hAnsi="Calibri" w:eastAsia="Arial" w:cs="Calibri"/>
          <w:color w:val="1F1F1F"/>
          <w:sz w:val="28"/>
          <w:szCs w:val="28"/>
          <w:rtl w:val="0"/>
        </w:rPr>
        <w:t>With the bucket populated, a single iptables rule was injected at the top of the INPUT chain, instructing the firewall to actively DROP any packets originating from a source IP found within the block_cn set.</w:t>
      </w:r>
    </w:p>
    <w:p w14:paraId="186078F8">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3371850" cy="349250"/>
            <wp:effectExtent l="0" t="0" r="6350" b="6350"/>
            <wp:docPr id="46" name="Picture 46" descr="day20_21_iptables_insert_drop_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ay20_21_iptables_insert_drop_rule"/>
                    <pic:cNvPicPr>
                      <a:picLocks noChangeAspect="1"/>
                    </pic:cNvPicPr>
                  </pic:nvPicPr>
                  <pic:blipFill>
                    <a:blip r:embed="rId47"/>
                    <a:stretch>
                      <a:fillRect/>
                    </a:stretch>
                  </pic:blipFill>
                  <pic:spPr>
                    <a:xfrm>
                      <a:off x="0" y="0"/>
                      <a:ext cx="3371850" cy="349250"/>
                    </a:xfrm>
                    <a:prstGeom prst="rect">
                      <a:avLst/>
                    </a:prstGeom>
                  </pic:spPr>
                </pic:pic>
              </a:graphicData>
            </a:graphic>
          </wp:inline>
        </w:drawing>
      </w:r>
    </w:p>
    <w:p w14:paraId="00000092">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Verification of the firewall ruleset confirmed the drop logic was correctly bound to the hash:net list.</w:t>
      </w:r>
    </w:p>
    <w:p w14:paraId="63BD6D6D">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676900" cy="1804035"/>
            <wp:effectExtent l="0" t="0" r="0" b="12065"/>
            <wp:docPr id="47" name="Picture 47" descr="day20_21_verify_iptables_and_ip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ay20_21_verify_iptables_and_ipset"/>
                    <pic:cNvPicPr>
                      <a:picLocks noChangeAspect="1"/>
                    </pic:cNvPicPr>
                  </pic:nvPicPr>
                  <pic:blipFill>
                    <a:blip r:embed="rId48"/>
                    <a:stretch>
                      <a:fillRect/>
                    </a:stretch>
                  </pic:blipFill>
                  <pic:spPr>
                    <a:xfrm>
                      <a:off x="0" y="0"/>
                      <a:ext cx="5676900" cy="1804035"/>
                    </a:xfrm>
                    <a:prstGeom prst="rect">
                      <a:avLst/>
                    </a:prstGeom>
                  </pic:spPr>
                </pic:pic>
              </a:graphicData>
            </a:graphic>
          </wp:inline>
        </w:drawing>
      </w:r>
    </w:p>
    <w:p w14:paraId="0000009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16" w:name="_Toc9364"/>
      <w:r>
        <w:rPr>
          <w:rFonts w:hint="default" w:ascii="Calibri" w:hAnsi="Calibri" w:eastAsia="Arial" w:cs="Calibri"/>
          <w:color w:val="0B5FD1"/>
          <w:sz w:val="36"/>
          <w:szCs w:val="36"/>
          <w:rtl w:val="0"/>
        </w:rPr>
        <w:t>Local DNS Sinkholing</w:t>
      </w:r>
      <w:bookmarkEnd w:id="16"/>
    </w:p>
    <w:p w14:paraId="0000009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To compliment inbound blocking, outbound DNS restrictions were configured via the /etc/hosts file.</w:t>
      </w:r>
    </w:p>
    <w:p w14:paraId="168F2701">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1263650" cy="228600"/>
            <wp:effectExtent l="0" t="0" r="6350" b="0"/>
            <wp:docPr id="48" name="Picture 48" descr="day20_21_open_etc_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ay20_21_open_etc_hosts"/>
                    <pic:cNvPicPr>
                      <a:picLocks noChangeAspect="1"/>
                    </pic:cNvPicPr>
                  </pic:nvPicPr>
                  <pic:blipFill>
                    <a:blip r:embed="rId49"/>
                    <a:stretch>
                      <a:fillRect/>
                    </a:stretch>
                  </pic:blipFill>
                  <pic:spPr>
                    <a:xfrm>
                      <a:off x="0" y="0"/>
                      <a:ext cx="1263650" cy="228600"/>
                    </a:xfrm>
                    <a:prstGeom prst="rect">
                      <a:avLst/>
                    </a:prstGeom>
                  </pic:spPr>
                </pic:pic>
              </a:graphicData>
            </a:graphic>
          </wp:inline>
        </w:drawing>
      </w:r>
    </w:p>
    <w:p w14:paraId="00000098">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tl w:val="0"/>
        </w:rPr>
      </w:pPr>
      <w:r>
        <w:rPr>
          <w:rFonts w:hint="default" w:ascii="Calibri" w:hAnsi="Calibri" w:eastAsia="Arial" w:cs="Calibri"/>
          <w:color w:val="1F1F1F"/>
          <w:sz w:val="28"/>
          <w:szCs w:val="28"/>
          <w:rtl w:val="0"/>
        </w:rPr>
        <w:t>Simulated malicious domains were routed directly to the 127.0.0.1 loopback address, effectively creating a local DNS sinkhole.</w:t>
      </w:r>
    </w:p>
    <w:p w14:paraId="4B6ED92C">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2654300" cy="876300"/>
            <wp:effectExtent l="0" t="0" r="0" b="0"/>
            <wp:docPr id="49" name="Picture 49" descr="day20_21_edit_etc_hosts_sink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ay20_21_edit_etc_hosts_sinkhole"/>
                    <pic:cNvPicPr>
                      <a:picLocks noChangeAspect="1"/>
                    </pic:cNvPicPr>
                  </pic:nvPicPr>
                  <pic:blipFill>
                    <a:blip r:embed="rId50"/>
                    <a:stretch>
                      <a:fillRect/>
                    </a:stretch>
                  </pic:blipFill>
                  <pic:spPr>
                    <a:xfrm>
                      <a:off x="0" y="0"/>
                      <a:ext cx="2654300" cy="876300"/>
                    </a:xfrm>
                    <a:prstGeom prst="rect">
                      <a:avLst/>
                    </a:prstGeom>
                  </pic:spPr>
                </pic:pic>
              </a:graphicData>
            </a:graphic>
          </wp:inline>
        </w:drawing>
      </w:r>
    </w:p>
    <w:p w14:paraId="0000009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both"/>
        <w:rPr>
          <w:rFonts w:hint="default" w:ascii="Calibri" w:hAnsi="Calibri" w:eastAsia="Arial" w:cs="Calibri"/>
          <w:color w:val="1F1F1F"/>
          <w:sz w:val="28"/>
          <w:szCs w:val="28"/>
        </w:rPr>
      </w:pPr>
      <w:r>
        <w:rPr>
          <w:rFonts w:hint="default" w:ascii="Calibri" w:hAnsi="Calibri" w:eastAsia="Arial" w:cs="Calibri"/>
          <w:color w:val="1F1F1F"/>
          <w:sz w:val="28"/>
          <w:szCs w:val="28"/>
          <w:rtl w:val="0"/>
        </w:rPr>
        <w:t>Testing via curl confirmed that requests to the flagged domains were instantly hijacked and met with a Connection refused error, preventing the machine from reaching the actual internet endpoints.</w:t>
      </w:r>
    </w:p>
    <w:p w14:paraId="592A21AA">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eastAsia="Arial" w:cs="Calibri"/>
          <w:color w:val="1F1F1F"/>
          <w:sz w:val="28"/>
          <w:szCs w:val="28"/>
          <w:rtl w:val="0"/>
          <w:lang w:val="en-US"/>
        </w:rPr>
        <w:drawing>
          <wp:inline distT="0" distB="0" distL="114300" distR="114300">
            <wp:extent cx="5257800" cy="1054100"/>
            <wp:effectExtent l="0" t="0" r="0" b="0"/>
            <wp:docPr id="50" name="Picture 50" descr="day20_21_verify_dns_sinkhole_c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ay20_21_verify_dns_sinkhole_curl"/>
                    <pic:cNvPicPr>
                      <a:picLocks noChangeAspect="1"/>
                    </pic:cNvPicPr>
                  </pic:nvPicPr>
                  <pic:blipFill>
                    <a:blip r:embed="rId51"/>
                    <a:stretch>
                      <a:fillRect/>
                    </a:stretch>
                  </pic:blipFill>
                  <pic:spPr>
                    <a:xfrm>
                      <a:off x="0" y="0"/>
                      <a:ext cx="5257800" cy="1054100"/>
                    </a:xfrm>
                    <a:prstGeom prst="rect">
                      <a:avLst/>
                    </a:prstGeom>
                  </pic:spPr>
                </pic:pic>
              </a:graphicData>
            </a:graphic>
          </wp:inline>
        </w:drawing>
      </w:r>
    </w:p>
    <w:p w14:paraId="0000009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both"/>
        <w:rPr>
          <w:rFonts w:hint="default" w:ascii="Calibri" w:hAnsi="Calibri" w:eastAsia="Arial" w:cs="Calibri"/>
          <w:color w:val="0B5FD1"/>
          <w:sz w:val="36"/>
          <w:szCs w:val="36"/>
        </w:rPr>
      </w:pPr>
      <w:bookmarkStart w:id="17" w:name="_Toc29905"/>
      <w:r>
        <w:rPr>
          <w:rFonts w:hint="default" w:ascii="Calibri" w:hAnsi="Calibri" w:eastAsia="Arial" w:cs="Calibri"/>
          <w:color w:val="0B5FD1"/>
          <w:sz w:val="36"/>
          <w:szCs w:val="36"/>
          <w:rtl w:val="0"/>
        </w:rPr>
        <w:t>Security Limitations and Wazuh Visibility</w:t>
      </w:r>
      <w:bookmarkEnd w:id="17"/>
    </w:p>
    <w:tbl>
      <w:tblPr>
        <w:tblStyle w:val="17"/>
        <w:tblW w:w="9360" w:type="dxa"/>
        <w:tblInd w:w="0" w:type="dxa"/>
        <w:tblBorders>
          <w:top w:val="single" w:color="1D41D5" w:sz="12" w:space="0"/>
          <w:left w:val="single" w:color="1D41D5" w:sz="12" w:space="0"/>
          <w:bottom w:val="single" w:color="1D41D5" w:sz="12" w:space="0"/>
          <w:right w:val="single" w:color="1D41D5" w:sz="12" w:space="0"/>
          <w:insideH w:val="none" w:color="auto" w:sz="0" w:space="0"/>
          <w:insideV w:val="none" w:color="auto" w:sz="0" w:space="0"/>
        </w:tblBorders>
        <w:tblLayout w:type="fixed"/>
        <w:tblCellMar>
          <w:top w:w="100" w:type="dxa"/>
          <w:left w:w="100" w:type="dxa"/>
          <w:bottom w:w="100" w:type="dxa"/>
          <w:right w:w="100" w:type="dxa"/>
        </w:tblCellMar>
      </w:tblPr>
      <w:tblGrid>
        <w:gridCol w:w="4680"/>
        <w:gridCol w:w="4680"/>
      </w:tblGrid>
      <w:tr w14:paraId="5747F0A5">
        <w:tblPrEx>
          <w:tblBorders>
            <w:top w:val="single" w:color="1D41D5" w:sz="12" w:space="0"/>
            <w:left w:val="single" w:color="1D41D5" w:sz="12" w:space="0"/>
            <w:bottom w:val="single" w:color="1D41D5" w:sz="12" w:space="0"/>
            <w:right w:val="single" w:color="1D41D5" w:sz="12" w:space="0"/>
            <w:insideH w:val="none" w:color="auto" w:sz="0" w:space="0"/>
            <w:insideV w:val="none" w:color="auto" w:sz="0" w:space="0"/>
          </w:tblBorders>
          <w:tblCellMar>
            <w:top w:w="100" w:type="dxa"/>
            <w:left w:w="100" w:type="dxa"/>
            <w:bottom w:w="100" w:type="dxa"/>
            <w:right w:w="100" w:type="dxa"/>
          </w:tblCellMar>
        </w:tblPrEx>
        <w:tc>
          <w:tcPr>
            <w:tcBorders>
              <w:tl2br w:val="nil"/>
              <w:tr2bl w:val="nil"/>
            </w:tcBorders>
            <w:shd w:val="clear" w:color="auto" w:fill="4F81BD"/>
            <w:tcMar>
              <w:top w:w="120" w:type="dxa"/>
              <w:left w:w="180" w:type="dxa"/>
              <w:bottom w:w="120" w:type="dxa"/>
              <w:right w:w="180" w:type="dxa"/>
            </w:tcMar>
            <w:vAlign w:val="top"/>
          </w:tcPr>
          <w:p w14:paraId="0000009C">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Concept</w:t>
            </w:r>
          </w:p>
        </w:tc>
        <w:tc>
          <w:tcPr>
            <w:tcBorders>
              <w:tl2br w:val="nil"/>
              <w:tr2bl w:val="nil"/>
            </w:tcBorders>
            <w:shd w:val="clear" w:color="auto" w:fill="4F81BD"/>
            <w:tcMar>
              <w:top w:w="120" w:type="dxa"/>
              <w:left w:w="180" w:type="dxa"/>
              <w:bottom w:w="120" w:type="dxa"/>
              <w:right w:w="180" w:type="dxa"/>
            </w:tcMar>
            <w:vAlign w:val="top"/>
          </w:tcPr>
          <w:p w14:paraId="0000009D">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Analysis</w:t>
            </w:r>
          </w:p>
        </w:tc>
      </w:tr>
      <w:tr w14:paraId="18D02BE8">
        <w:tblPrEx>
          <w:tblBorders>
            <w:top w:val="single" w:color="1D41D5" w:sz="12" w:space="0"/>
            <w:left w:val="single" w:color="1D41D5" w:sz="12" w:space="0"/>
            <w:bottom w:val="single" w:color="1D41D5" w:sz="12" w:space="0"/>
            <w:right w:val="single" w:color="1D41D5" w:sz="12" w:space="0"/>
            <w:insideH w:val="none" w:color="auto" w:sz="0" w:space="0"/>
            <w:insideV w:val="none" w:color="auto" w:sz="0" w:space="0"/>
          </w:tblBorders>
          <w:tblCellMar>
            <w:top w:w="100" w:type="dxa"/>
            <w:left w:w="100" w:type="dxa"/>
            <w:bottom w:w="100" w:type="dxa"/>
            <w:right w:w="100" w:type="dxa"/>
          </w:tblCellMar>
        </w:tblPrEx>
        <w:tc>
          <w:tcPr>
            <w:tcBorders>
              <w:tl2br w:val="nil"/>
              <w:tr2bl w:val="nil"/>
            </w:tcBorders>
            <w:shd w:val="clear" w:color="auto" w:fill="4F81BD"/>
            <w:tcMar>
              <w:top w:w="120" w:type="dxa"/>
              <w:left w:w="180" w:type="dxa"/>
              <w:bottom w:w="120" w:type="dxa"/>
              <w:right w:w="180"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IPSet vs. IPtables</w:t>
            </w:r>
          </w:p>
        </w:tc>
        <w:tc>
          <w:tcPr>
            <w:tcBorders>
              <w:tl2br w:val="nil"/>
              <w:tr2bl w:val="nil"/>
            </w:tcBorders>
            <w:shd w:val="clear" w:color="auto" w:fill="DBE6F2"/>
            <w:tcMar>
              <w:top w:w="120" w:type="dxa"/>
              <w:left w:w="180" w:type="dxa"/>
              <w:bottom w:w="120" w:type="dxa"/>
              <w:right w:w="180" w:type="dxa"/>
            </w:tcMar>
            <w:vAlign w:val="top"/>
          </w:tcPr>
          <w:p w14:paraId="0000009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ipset is utilized because it stores thousands of IP ranges in a highly optimized hash map. If iptables had to read 8,000 individual rules line-by-line for every packet, network performance would collapse. ipset allows the firewall to check one single rule instantly.</w:t>
            </w:r>
          </w:p>
        </w:tc>
      </w:tr>
      <w:tr w14:paraId="715B35EE">
        <w:tblPrEx>
          <w:tblBorders>
            <w:top w:val="single" w:color="1D41D5" w:sz="12" w:space="0"/>
            <w:left w:val="single" w:color="1D41D5" w:sz="12" w:space="0"/>
            <w:bottom w:val="single" w:color="1D41D5" w:sz="12" w:space="0"/>
            <w:right w:val="single" w:color="1D41D5" w:sz="12" w:space="0"/>
            <w:insideH w:val="none" w:color="auto" w:sz="0" w:space="0"/>
            <w:insideV w:val="none" w:color="auto" w:sz="0" w:space="0"/>
          </w:tblBorders>
          <w:tblCellMar>
            <w:top w:w="100" w:type="dxa"/>
            <w:left w:w="100" w:type="dxa"/>
            <w:bottom w:w="100" w:type="dxa"/>
            <w:right w:w="100" w:type="dxa"/>
          </w:tblCellMar>
        </w:tblPrEx>
        <w:tc>
          <w:tcPr>
            <w:tcBorders>
              <w:tl2br w:val="nil"/>
              <w:tr2bl w:val="nil"/>
            </w:tcBorders>
            <w:shd w:val="clear" w:color="auto" w:fill="4F81BD"/>
            <w:tcMar>
              <w:top w:w="120" w:type="dxa"/>
              <w:left w:w="180" w:type="dxa"/>
              <w:bottom w:w="120" w:type="dxa"/>
              <w:right w:w="180"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DROP vs. REJECT</w:t>
            </w:r>
          </w:p>
        </w:tc>
        <w:tc>
          <w:tcPr>
            <w:tcBorders>
              <w:tl2br w:val="nil"/>
              <w:tr2bl w:val="nil"/>
            </w:tcBorders>
            <w:shd w:val="clear" w:color="auto" w:fill="DBE6F2"/>
            <w:tcMar>
              <w:top w:w="120" w:type="dxa"/>
              <w:left w:w="180" w:type="dxa"/>
              <w:bottom w:w="120" w:type="dxa"/>
              <w:right w:w="180"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The firewall was configured to DROP traffic, which silently discards the packet, forcing the attacker's scanner to time out and wasting their resources. A REJECT rule actively sends an ICMP "Connection Refused" packet back, which confirms to the attacker that the host is alive and actively blocking them.</w:t>
            </w:r>
          </w:p>
        </w:tc>
      </w:tr>
      <w:tr w14:paraId="0115F8A1">
        <w:tblPrEx>
          <w:tblBorders>
            <w:top w:val="single" w:color="1D41D5" w:sz="12" w:space="0"/>
            <w:left w:val="single" w:color="1D41D5" w:sz="12" w:space="0"/>
            <w:bottom w:val="single" w:color="1D41D5" w:sz="12" w:space="0"/>
            <w:right w:val="single" w:color="1D41D5" w:sz="12" w:space="0"/>
            <w:insideH w:val="none" w:color="auto" w:sz="0" w:space="0"/>
            <w:insideV w:val="none" w:color="auto" w:sz="0" w:space="0"/>
          </w:tblBorders>
          <w:tblCellMar>
            <w:top w:w="100" w:type="dxa"/>
            <w:left w:w="100" w:type="dxa"/>
            <w:bottom w:w="100" w:type="dxa"/>
            <w:right w:w="100" w:type="dxa"/>
          </w:tblCellMar>
        </w:tblPrEx>
        <w:tc>
          <w:tcPr>
            <w:tcBorders>
              <w:tl2br w:val="nil"/>
              <w:tr2bl w:val="nil"/>
            </w:tcBorders>
            <w:shd w:val="clear" w:color="auto" w:fill="4F81BD"/>
            <w:tcMar>
              <w:top w:w="120" w:type="dxa"/>
              <w:left w:w="180" w:type="dxa"/>
              <w:bottom w:w="120" w:type="dxa"/>
              <w:right w:w="180"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Wazuh Visibility</w:t>
            </w:r>
          </w:p>
        </w:tc>
        <w:tc>
          <w:tcPr>
            <w:tcBorders>
              <w:tl2br w:val="nil"/>
              <w:tr2bl w:val="nil"/>
            </w:tcBorders>
            <w:shd w:val="clear" w:color="auto" w:fill="DBE6F2"/>
            <w:tcMar>
              <w:top w:w="120" w:type="dxa"/>
              <w:left w:w="180" w:type="dxa"/>
              <w:bottom w:w="120" w:type="dxa"/>
              <w:right w:w="180" w:type="dxa"/>
            </w:tcMar>
            <w:vAlign w:val="top"/>
          </w:tcPr>
          <w:p w14:paraId="000000A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 xml:space="preserve">Wazuh did </w:t>
            </w:r>
            <w:r>
              <w:rPr>
                <w:rFonts w:hint="default" w:ascii="Calibri" w:hAnsi="Calibri" w:eastAsia="Arial" w:cs="Calibri"/>
                <w:b w:val="0"/>
                <w:bCs/>
                <w:color w:val="000000"/>
                <w:sz w:val="28"/>
                <w:szCs w:val="28"/>
                <w:shd w:val="clear" w:fill="auto"/>
                <w:rtl w:val="0"/>
              </w:rPr>
              <w:t>not</w:t>
            </w:r>
            <w:r>
              <w:rPr>
                <w:rFonts w:hint="default" w:ascii="Calibri" w:hAnsi="Calibri" w:eastAsia="Arial" w:cs="Calibri"/>
                <w:b w:val="0"/>
                <w:color w:val="000000"/>
                <w:sz w:val="28"/>
                <w:szCs w:val="28"/>
                <w:shd w:val="clear" w:fill="auto"/>
                <w:rtl w:val="0"/>
              </w:rPr>
              <w:t xml:space="preserve"> generate an alert for this blocked traffic. A standard iptables -j DROP rule discards the packet silently without writing an entry to syslog or kern.log. Because no local log is generated, the Wazuh agent has nothing to report. To achieve SIEM visibility, a dedicated -j LOG rule must be placed directly above the DROP rule.</w:t>
            </w:r>
          </w:p>
        </w:tc>
      </w:tr>
      <w:tr w14:paraId="5A5EEAB4">
        <w:tblPrEx>
          <w:tblBorders>
            <w:top w:val="single" w:color="1D41D5" w:sz="12" w:space="0"/>
            <w:left w:val="single" w:color="1D41D5" w:sz="12" w:space="0"/>
            <w:bottom w:val="single" w:color="1D41D5" w:sz="12" w:space="0"/>
            <w:right w:val="single" w:color="1D41D5" w:sz="12" w:space="0"/>
            <w:insideH w:val="none" w:color="auto" w:sz="0" w:space="0"/>
            <w:insideV w:val="none" w:color="auto" w:sz="0" w:space="0"/>
          </w:tblBorders>
          <w:tblCellMar>
            <w:top w:w="100" w:type="dxa"/>
            <w:left w:w="100" w:type="dxa"/>
            <w:bottom w:w="100" w:type="dxa"/>
            <w:right w:w="100" w:type="dxa"/>
          </w:tblCellMar>
        </w:tblPrEx>
        <w:tc>
          <w:tcPr>
            <w:tcBorders>
              <w:tl2br w:val="nil"/>
              <w:tr2bl w:val="nil"/>
            </w:tcBorders>
            <w:shd w:val="clear" w:color="auto" w:fill="4F81BD"/>
            <w:tcMar>
              <w:top w:w="120" w:type="dxa"/>
              <w:left w:w="180" w:type="dxa"/>
              <w:bottom w:w="120" w:type="dxa"/>
              <w:right w:w="180"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bCs/>
                <w:color w:val="FFFFFF"/>
                <w:sz w:val="28"/>
                <w:szCs w:val="28"/>
                <w:shd w:val="clear" w:fill="auto"/>
              </w:rPr>
            </w:pPr>
            <w:r>
              <w:rPr>
                <w:rFonts w:hint="default" w:ascii="Calibri" w:hAnsi="Calibri" w:eastAsia="Arial" w:cs="Calibri"/>
                <w:b/>
                <w:bCs/>
                <w:color w:val="FFFFFF"/>
                <w:sz w:val="28"/>
                <w:szCs w:val="28"/>
                <w:shd w:val="clear" w:fill="auto"/>
                <w:rtl w:val="0"/>
              </w:rPr>
              <w:t>GeoIP Limitations &amp; Persistence</w:t>
            </w:r>
          </w:p>
        </w:tc>
        <w:tc>
          <w:tcPr>
            <w:tcBorders>
              <w:tl2br w:val="nil"/>
              <w:tr2bl w:val="nil"/>
            </w:tcBorders>
            <w:shd w:val="clear" w:color="auto" w:fill="DBE6F2"/>
            <w:tcMar>
              <w:top w:w="120" w:type="dxa"/>
              <w:left w:w="180" w:type="dxa"/>
              <w:bottom w:w="120" w:type="dxa"/>
              <w:right w:w="180"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center"/>
              <w:rPr>
                <w:rFonts w:hint="default" w:ascii="Calibri" w:hAnsi="Calibri" w:eastAsia="Arial" w:cs="Calibri"/>
                <w:b w:val="0"/>
                <w:color w:val="000000"/>
                <w:sz w:val="28"/>
                <w:szCs w:val="28"/>
                <w:shd w:val="clear" w:fill="auto"/>
              </w:rPr>
            </w:pPr>
            <w:r>
              <w:rPr>
                <w:rFonts w:hint="default" w:ascii="Calibri" w:hAnsi="Calibri" w:eastAsia="Arial" w:cs="Calibri"/>
                <w:b w:val="0"/>
                <w:color w:val="000000"/>
                <w:sz w:val="28"/>
                <w:szCs w:val="28"/>
                <w:shd w:val="clear" w:fill="auto"/>
                <w:rtl w:val="0"/>
              </w:rPr>
              <w:t>GeoIP blocking is merely a layer of friction. Sophisticated threat actors easily bypass it by routing attacks through compromised infrastructure or VPNs located in permitted countries. Furthermore, these iptables and ipset rules reside in volatile memory; they will vanish upon system reboot unless explicitly saved and restored using a firewall manager like ufw or iptables-persistent.</w:t>
            </w:r>
          </w:p>
        </w:tc>
      </w:tr>
    </w:tbl>
    <w:p w14:paraId="59E1BC4D">
      <w:pPr>
        <w:pBdr>
          <w:top w:val="none" w:color="auto" w:sz="0" w:space="0"/>
          <w:left w:val="none" w:color="auto" w:sz="0" w:space="0"/>
          <w:bottom w:val="none" w:color="auto" w:sz="0" w:space="0"/>
          <w:right w:val="none" w:color="auto" w:sz="0" w:space="0"/>
          <w:between w:val="none" w:color="auto" w:sz="0" w:space="0"/>
        </w:pBdr>
        <w:shd w:val="clear" w:fill="auto"/>
        <w:spacing w:before="480" w:after="240" w:line="360" w:lineRule="auto"/>
        <w:jc w:val="center"/>
        <w:rPr>
          <w:rFonts w:hint="default" w:ascii="Calibri" w:hAnsi="Calibri" w:eastAsia="Arial" w:cs="Calibri"/>
          <w:b/>
          <w:bCs/>
          <w:i w:val="0"/>
          <w:iCs w:val="0"/>
          <w:color w:val="0B5FD1"/>
          <w:sz w:val="28"/>
          <w:szCs w:val="28"/>
          <w:rtl w:val="0"/>
        </w:rPr>
      </w:pPr>
    </w:p>
    <w:p w14:paraId="000000A6">
      <w:pPr>
        <w:pBdr>
          <w:top w:val="none" w:color="auto" w:sz="0" w:space="0"/>
          <w:left w:val="none" w:color="auto" w:sz="0" w:space="0"/>
          <w:bottom w:val="none" w:color="auto" w:sz="0" w:space="0"/>
          <w:right w:val="none" w:color="auto" w:sz="0" w:space="0"/>
          <w:between w:val="none" w:color="auto" w:sz="0" w:space="0"/>
        </w:pBdr>
        <w:shd w:val="clear" w:fill="auto"/>
        <w:spacing w:before="480" w:after="240" w:line="360" w:lineRule="auto"/>
        <w:jc w:val="center"/>
        <w:rPr>
          <w:rFonts w:hint="default" w:ascii="Calibri" w:hAnsi="Calibri" w:eastAsia="Arial" w:cs="Calibri"/>
          <w:b/>
          <w:bCs/>
          <w:i w:val="0"/>
          <w:iCs w:val="0"/>
          <w:color w:val="0B5FD1"/>
          <w:sz w:val="28"/>
          <w:szCs w:val="28"/>
        </w:rPr>
      </w:pPr>
      <w:bookmarkStart w:id="18" w:name="_GoBack"/>
      <w:bookmarkEnd w:id="18"/>
      <w:r>
        <w:rPr>
          <w:rFonts w:hint="default" w:ascii="Calibri" w:hAnsi="Calibri" w:eastAsia="Arial" w:cs="Calibri"/>
          <w:b/>
          <w:bCs/>
          <w:i w:val="0"/>
          <w:iCs w:val="0"/>
          <w:color w:val="0B5FD1"/>
          <w:sz w:val="28"/>
          <w:szCs w:val="28"/>
          <w:rtl w:val="0"/>
        </w:rPr>
        <w:t>End of Week 3 Report</w:t>
      </w:r>
    </w:p>
    <w:sectPr>
      <w:pgSz w:w="12240" w:h="15840"/>
      <w:pgMar w:top="1440" w:right="1440" w:bottom="1440" w:left="1440" w:header="0" w:footer="72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A6B45A7-CFBF-46F1-B77E-FAFBD5BCCF6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E02DEC4-9E0E-40DA-B4A1-ACE393A84D49}"/>
  </w:font>
  <w:font w:name="Wingdings">
    <w:panose1 w:val="05000000000000000000"/>
    <w:charset w:val="02"/>
    <w:family w:val="auto"/>
    <w:pitch w:val="default"/>
    <w:sig w:usb0="00000000" w:usb1="00000000" w:usb2="00000000" w:usb3="00000000" w:csb0="80000000" w:csb1="00000000"/>
    <w:embedRegular r:id="rId3" w:fontKey="{181263CB-CF8A-4BE3-9B6D-0B711BDE8644}"/>
  </w:font>
  <w:font w:name="Calibri">
    <w:panose1 w:val="020F0502020204030204"/>
    <w:charset w:val="00"/>
    <w:family w:val="swiss"/>
    <w:pitch w:val="default"/>
    <w:sig w:usb0="E4002EFF" w:usb1="C200247B" w:usb2="00000009" w:usb3="00000000" w:csb0="200001FF" w:csb1="00000000"/>
    <w:embedRegular r:id="rId4" w:fontKey="{8945347E-45DF-47C6-B28E-09976D86CAB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40FF4B78-137D-4CA7-B4F9-168218E24EF7}"/>
  </w:font>
  <w:font w:name="Georgia">
    <w:panose1 w:val="02040502050405020303"/>
    <w:charset w:val="00"/>
    <w:family w:val="auto"/>
    <w:pitch w:val="default"/>
    <w:sig w:usb0="00000287" w:usb1="00000000" w:usb2="00000000" w:usb3="00000000" w:csb0="2000009F" w:csb1="00000000"/>
    <w:embedRegular r:id="rId6" w:fontKey="{98FFD94C-FDB0-448E-BD2A-9D9B6A450D5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07F6465"/>
    <w:rsid w:val="078C55F0"/>
    <w:rsid w:val="08D40E0B"/>
    <w:rsid w:val="22C47F17"/>
    <w:rsid w:val="270C5331"/>
    <w:rsid w:val="2BAF3DB8"/>
    <w:rsid w:val="2FE15D9B"/>
    <w:rsid w:val="30414686"/>
    <w:rsid w:val="345F1203"/>
    <w:rsid w:val="378B2AF8"/>
    <w:rsid w:val="3A430524"/>
    <w:rsid w:val="43A77980"/>
    <w:rsid w:val="5E4C097C"/>
    <w:rsid w:val="5EE332B8"/>
    <w:rsid w:val="71700E9F"/>
    <w:rsid w:val="7CA51E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style>
  <w:style w:type="table" w:customStyle="1" w:styleId="17">
    <w:name w:val="_Style 11"/>
    <w:basedOn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21</Pages>
  <Words>1498</Words>
  <Characters>8690</Characters>
  <TotalTime>9</TotalTime>
  <ScaleCrop>false</ScaleCrop>
  <LinksUpToDate>false</LinksUpToDate>
  <CharactersWithSpaces>10087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2026-03-17T03:55:00Z</dcterms:created>
  <dc:creator>razaj</dc:creator>
  <cp:lastModifiedBy>Raza Javaid</cp:lastModifiedBy>
  <dcterms:modified xsi:type="dcterms:W3CDTF">2026-03-18T15:17:59Z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1033-12.1.0.25242</vt:lpwstr>
  </property>
  <property fmtid="{D5CDD505-2E9C-101B-9397-08002B2CF9AE}" pid="4" name="ICV">
    <vt:lpwstr>3D8B8064644244DD8EBED8FE09E756C0_12</vt:lpwstr>
  </property>
</Properties>
</file>