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258B7">
      <w:pPr>
        <w:spacing w:before="400"/>
      </w:pPr>
    </w:p>
    <w:p w14:paraId="5A92A6FA">
      <w:pPr>
        <w:jc w:val="center"/>
        <w:rPr>
          <w:rFonts w:hint="default"/>
          <w:lang w:val="en-US"/>
        </w:rPr>
      </w:pPr>
      <w:r>
        <w:rPr>
          <w:rFonts w:hint="default"/>
          <w:lang w:val="en-US"/>
        </w:rPr>
        <w:drawing>
          <wp:inline distT="0" distB="0" distL="114300" distR="114300">
            <wp:extent cx="4053205" cy="3509010"/>
            <wp:effectExtent l="0" t="0" r="10795" b="8890"/>
            <wp:docPr id="34" name="Picture 34" descr="WhatsApp Image 2026-06-21 at 10.47.5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6-06-21 at 10.47.53 PM (1)"/>
                    <pic:cNvPicPr>
                      <a:picLocks noChangeAspect="1"/>
                    </pic:cNvPicPr>
                  </pic:nvPicPr>
                  <pic:blipFill>
                    <a:blip r:embed="rId6"/>
                    <a:stretch>
                      <a:fillRect/>
                    </a:stretch>
                  </pic:blipFill>
                  <pic:spPr>
                    <a:xfrm>
                      <a:off x="0" y="0"/>
                      <a:ext cx="4053205" cy="3509010"/>
                    </a:xfrm>
                    <a:prstGeom prst="rect">
                      <a:avLst/>
                    </a:prstGeom>
                  </pic:spPr>
                </pic:pic>
              </a:graphicData>
            </a:graphic>
          </wp:inline>
        </w:drawing>
      </w:r>
    </w:p>
    <w:p w14:paraId="2B2C0BDB">
      <w:pPr>
        <w:spacing w:before="300" w:after="40"/>
        <w:jc w:val="center"/>
      </w:pPr>
      <w:r>
        <w:rPr>
          <w:b/>
          <w:bCs/>
          <w:color w:val="5A5A5A"/>
          <w:spacing w:val="40"/>
          <w:sz w:val="30"/>
          <w:szCs w:val="30"/>
        </w:rPr>
        <w:t>CYBERSTER</w:t>
      </w:r>
    </w:p>
    <w:p w14:paraId="0AA4E529">
      <w:pPr>
        <w:pBdr>
          <w:bottom w:val="single" w:color="1A1A1A" w:sz="10" w:space="0"/>
        </w:pBdr>
        <w:spacing w:after="260"/>
        <w:jc w:val="center"/>
      </w:pPr>
    </w:p>
    <w:p w14:paraId="0BFFA339">
      <w:pPr>
        <w:spacing w:before="200" w:after="100"/>
        <w:jc w:val="center"/>
      </w:pPr>
      <w:r>
        <w:rPr>
          <w:b/>
          <w:bCs/>
          <w:color w:val="1A1A1A"/>
          <w:sz w:val="56"/>
          <w:szCs w:val="56"/>
        </w:rPr>
        <w:t>Secure Enterprise Network</w:t>
      </w:r>
    </w:p>
    <w:p w14:paraId="5C168E9C">
      <w:pPr>
        <w:spacing w:after="500"/>
        <w:jc w:val="center"/>
      </w:pPr>
      <w:r>
        <w:rPr>
          <w:b w:val="0"/>
          <w:bCs w:val="0"/>
          <w:i/>
          <w:iCs/>
          <w:color w:val="333333"/>
          <w:sz w:val="30"/>
          <w:szCs w:val="30"/>
        </w:rPr>
        <w:t>Final Capstone Project Report</w:t>
      </w:r>
    </w:p>
    <w:tbl>
      <w:tblPr>
        <w:tblStyle w:val="9"/>
        <w:tblW w:w="9440" w:type="dxa"/>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autofit"/>
        <w:tblCellMar>
          <w:top w:w="0" w:type="dxa"/>
          <w:left w:w="10" w:type="dxa"/>
          <w:bottom w:w="0" w:type="dxa"/>
          <w:right w:w="10" w:type="dxa"/>
        </w:tblCellMar>
      </w:tblPr>
      <w:tblGrid>
        <w:gridCol w:w="3200"/>
        <w:gridCol w:w="6240"/>
      </w:tblGrid>
      <w:tr w14:paraId="2634CFB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3200" w:type="dxa"/>
            <w:shd w:val="clear" w:color="auto" w:fill="1A1A1A"/>
            <w:tcMar>
              <w:top w:w="140" w:type="dxa"/>
              <w:left w:w="180" w:type="dxa"/>
              <w:bottom w:w="140" w:type="dxa"/>
              <w:right w:w="180" w:type="dxa"/>
            </w:tcMar>
            <w:vAlign w:val="center"/>
          </w:tcPr>
          <w:p w14:paraId="6D93BB27">
            <w:r>
              <w:rPr>
                <w:b/>
                <w:bCs/>
                <w:color w:val="FFFFFF"/>
                <w:sz w:val="21"/>
                <w:szCs w:val="21"/>
              </w:rPr>
              <w:t>Intern Name</w:t>
            </w:r>
          </w:p>
        </w:tc>
        <w:tc>
          <w:tcPr>
            <w:tcW w:w="6240" w:type="dxa"/>
            <w:shd w:val="clear" w:color="auto" w:fill="FFFFFF"/>
            <w:tcMar>
              <w:top w:w="140" w:type="dxa"/>
              <w:left w:w="180" w:type="dxa"/>
              <w:bottom w:w="140" w:type="dxa"/>
              <w:right w:w="180" w:type="dxa"/>
            </w:tcMar>
            <w:vAlign w:val="center"/>
          </w:tcPr>
          <w:p w14:paraId="37AB7B66">
            <w:r>
              <w:rPr>
                <w:b w:val="0"/>
                <w:bCs w:val="0"/>
                <w:color w:val="222222"/>
                <w:sz w:val="21"/>
                <w:szCs w:val="21"/>
              </w:rPr>
              <w:t>Muhammad Raza</w:t>
            </w:r>
          </w:p>
        </w:tc>
      </w:tr>
      <w:tr w14:paraId="1AFA2E0C">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3200" w:type="dxa"/>
            <w:shd w:val="clear" w:color="auto" w:fill="1A1A1A"/>
            <w:tcMar>
              <w:top w:w="140" w:type="dxa"/>
              <w:left w:w="180" w:type="dxa"/>
              <w:bottom w:w="140" w:type="dxa"/>
              <w:right w:w="180" w:type="dxa"/>
            </w:tcMar>
            <w:vAlign w:val="center"/>
          </w:tcPr>
          <w:p w14:paraId="5E5FEF52">
            <w:r>
              <w:rPr>
                <w:b/>
                <w:bCs/>
                <w:color w:val="FFFFFF"/>
                <w:sz w:val="21"/>
                <w:szCs w:val="21"/>
              </w:rPr>
              <w:t>Batch</w:t>
            </w:r>
          </w:p>
        </w:tc>
        <w:tc>
          <w:tcPr>
            <w:tcW w:w="6240" w:type="dxa"/>
            <w:shd w:val="clear" w:color="auto" w:fill="FFFFFF"/>
            <w:tcMar>
              <w:top w:w="140" w:type="dxa"/>
              <w:left w:w="180" w:type="dxa"/>
              <w:bottom w:w="140" w:type="dxa"/>
              <w:right w:w="180" w:type="dxa"/>
            </w:tcMar>
            <w:vAlign w:val="center"/>
          </w:tcPr>
          <w:p w14:paraId="500B8E22">
            <w:r>
              <w:rPr>
                <w:b w:val="0"/>
                <w:bCs w:val="0"/>
                <w:color w:val="222222"/>
                <w:sz w:val="21"/>
                <w:szCs w:val="21"/>
              </w:rPr>
              <w:t>CYBERSTER Batch 2</w:t>
            </w:r>
          </w:p>
        </w:tc>
      </w:tr>
      <w:tr w14:paraId="1F6214B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3200" w:type="dxa"/>
            <w:shd w:val="clear" w:color="auto" w:fill="1A1A1A"/>
            <w:tcMar>
              <w:top w:w="140" w:type="dxa"/>
              <w:left w:w="180" w:type="dxa"/>
              <w:bottom w:w="140" w:type="dxa"/>
              <w:right w:w="180" w:type="dxa"/>
            </w:tcMar>
            <w:vAlign w:val="center"/>
          </w:tcPr>
          <w:p w14:paraId="682DF9DC">
            <w:r>
              <w:rPr>
                <w:b/>
                <w:bCs/>
                <w:color w:val="FFFFFF"/>
                <w:sz w:val="21"/>
                <w:szCs w:val="21"/>
              </w:rPr>
              <w:t>Program</w:t>
            </w:r>
          </w:p>
        </w:tc>
        <w:tc>
          <w:tcPr>
            <w:tcW w:w="6240" w:type="dxa"/>
            <w:shd w:val="clear" w:color="auto" w:fill="FFFFFF"/>
            <w:tcMar>
              <w:top w:w="140" w:type="dxa"/>
              <w:left w:w="180" w:type="dxa"/>
              <w:bottom w:w="140" w:type="dxa"/>
              <w:right w:w="180" w:type="dxa"/>
            </w:tcMar>
            <w:vAlign w:val="center"/>
          </w:tcPr>
          <w:p w14:paraId="0FB46289">
            <w:pPr>
              <w:rPr>
                <w:rFonts w:hint="default"/>
                <w:lang w:val="en-US"/>
              </w:rPr>
            </w:pPr>
            <w:r>
              <w:rPr>
                <w:b w:val="0"/>
                <w:bCs w:val="0"/>
                <w:color w:val="222222"/>
                <w:sz w:val="21"/>
                <w:szCs w:val="21"/>
              </w:rPr>
              <w:t xml:space="preserve">CYBERSTER Internship </w:t>
            </w:r>
            <w:r>
              <w:rPr>
                <w:rFonts w:hint="default"/>
                <w:b w:val="0"/>
                <w:bCs w:val="0"/>
                <w:color w:val="222222"/>
                <w:sz w:val="21"/>
                <w:szCs w:val="21"/>
                <w:lang w:val="en-US"/>
              </w:rPr>
              <w:t>-</w:t>
            </w:r>
            <w:r>
              <w:rPr>
                <w:b w:val="0"/>
                <w:bCs w:val="0"/>
                <w:color w:val="222222"/>
                <w:sz w:val="21"/>
                <w:szCs w:val="21"/>
              </w:rPr>
              <w:t xml:space="preserve"> Net</w:t>
            </w:r>
            <w:r>
              <w:rPr>
                <w:rFonts w:hint="default"/>
                <w:b w:val="0"/>
                <w:bCs w:val="0"/>
                <w:color w:val="222222"/>
                <w:sz w:val="21"/>
                <w:szCs w:val="21"/>
                <w:lang w:val="en-US"/>
              </w:rPr>
              <w:t>Sec Track</w:t>
            </w:r>
          </w:p>
        </w:tc>
      </w:tr>
      <w:tr w14:paraId="268AB47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3200" w:type="dxa"/>
            <w:shd w:val="clear" w:color="auto" w:fill="1A1A1A"/>
            <w:tcMar>
              <w:top w:w="140" w:type="dxa"/>
              <w:left w:w="180" w:type="dxa"/>
              <w:bottom w:w="140" w:type="dxa"/>
              <w:right w:w="180" w:type="dxa"/>
            </w:tcMar>
            <w:vAlign w:val="center"/>
          </w:tcPr>
          <w:p w14:paraId="36DAB1F4">
            <w:r>
              <w:rPr>
                <w:b/>
                <w:bCs/>
                <w:color w:val="FFFFFF"/>
                <w:sz w:val="21"/>
                <w:szCs w:val="21"/>
              </w:rPr>
              <w:t>Project</w:t>
            </w:r>
          </w:p>
        </w:tc>
        <w:tc>
          <w:tcPr>
            <w:tcW w:w="6240" w:type="dxa"/>
            <w:shd w:val="clear" w:color="auto" w:fill="FFFFFF"/>
            <w:tcMar>
              <w:top w:w="140" w:type="dxa"/>
              <w:left w:w="180" w:type="dxa"/>
              <w:bottom w:w="140" w:type="dxa"/>
              <w:right w:w="180" w:type="dxa"/>
            </w:tcMar>
            <w:vAlign w:val="center"/>
          </w:tcPr>
          <w:p w14:paraId="60A29BA6">
            <w:r>
              <w:rPr>
                <w:b w:val="0"/>
                <w:bCs w:val="0"/>
                <w:color w:val="222222"/>
                <w:sz w:val="21"/>
                <w:szCs w:val="21"/>
              </w:rPr>
              <w:t xml:space="preserve">Secure Enterprise Network </w:t>
            </w:r>
            <w:r>
              <w:rPr>
                <w:rFonts w:hint="default"/>
                <w:b w:val="0"/>
                <w:bCs w:val="0"/>
                <w:color w:val="222222"/>
                <w:sz w:val="21"/>
                <w:szCs w:val="21"/>
                <w:lang w:val="en-US"/>
              </w:rPr>
              <w:t>-</w:t>
            </w:r>
            <w:r>
              <w:rPr>
                <w:b w:val="0"/>
                <w:bCs w:val="0"/>
                <w:color w:val="222222"/>
                <w:sz w:val="21"/>
                <w:szCs w:val="21"/>
              </w:rPr>
              <w:t xml:space="preserve"> Final Capstone Project</w:t>
            </w:r>
          </w:p>
        </w:tc>
      </w:tr>
      <w:tr w14:paraId="0C748126">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3200" w:type="dxa"/>
            <w:shd w:val="clear" w:color="auto" w:fill="1A1A1A"/>
            <w:tcMar>
              <w:top w:w="140" w:type="dxa"/>
              <w:left w:w="180" w:type="dxa"/>
              <w:bottom w:w="140" w:type="dxa"/>
              <w:right w:w="180" w:type="dxa"/>
            </w:tcMar>
            <w:vAlign w:val="center"/>
          </w:tcPr>
          <w:p w14:paraId="49EEF5CD">
            <w:r>
              <w:rPr>
                <w:b/>
                <w:bCs/>
                <w:color w:val="FFFFFF"/>
                <w:sz w:val="21"/>
                <w:szCs w:val="21"/>
              </w:rPr>
              <w:t>Report Type</w:t>
            </w:r>
          </w:p>
        </w:tc>
        <w:tc>
          <w:tcPr>
            <w:tcW w:w="6240" w:type="dxa"/>
            <w:shd w:val="clear" w:color="auto" w:fill="FFFFFF"/>
            <w:tcMar>
              <w:top w:w="140" w:type="dxa"/>
              <w:left w:w="180" w:type="dxa"/>
              <w:bottom w:w="140" w:type="dxa"/>
              <w:right w:w="180" w:type="dxa"/>
            </w:tcMar>
            <w:vAlign w:val="center"/>
          </w:tcPr>
          <w:p w14:paraId="42B247FF">
            <w:r>
              <w:rPr>
                <w:b w:val="0"/>
                <w:bCs w:val="0"/>
                <w:color w:val="222222"/>
                <w:sz w:val="21"/>
                <w:szCs w:val="21"/>
              </w:rPr>
              <w:t>Final Capstone Project Report</w:t>
            </w:r>
          </w:p>
        </w:tc>
      </w:tr>
    </w:tbl>
    <w:p w14:paraId="50B9029F"/>
    <w:p w14:paraId="2B025FB7"/>
    <w:p w14:paraId="5DCC9823"/>
    <w:p w14:paraId="4BDAC838"/>
    <w:p w14:paraId="129F026B"/>
    <w:p w14:paraId="7512264B"/>
    <w:p w14:paraId="67425B2A">
      <w:r>
        <w:br w:type="page"/>
      </w:r>
    </w:p>
    <w:p w14:paraId="4C9DD2BF">
      <w:pPr>
        <w:pStyle w:val="2"/>
        <w:pBdr>
          <w:bottom w:val="single" w:color="1A1A1A" w:sz="8" w:space="0"/>
        </w:pBdr>
        <w:spacing w:after="320"/>
      </w:pPr>
      <w:r>
        <w:rPr>
          <w:b/>
          <w:bCs/>
          <w:color w:val="1A1A1A"/>
          <w:sz w:val="32"/>
          <w:szCs w:val="32"/>
        </w:rPr>
        <w:t>Table of Contents</w:t>
      </w:r>
    </w:p>
    <w:p w14:paraId="0F390205">
      <w:pPr>
        <w:tabs>
          <w:tab w:val="right" w:pos="9026"/>
        </w:tabs>
        <w:spacing w:after="160"/>
      </w:pPr>
      <w:r>
        <w:rPr>
          <w:color w:val="222222"/>
          <w:sz w:val="23"/>
          <w:szCs w:val="23"/>
        </w:rPr>
        <w:t>1. Executive Summary</w:t>
      </w:r>
      <w:r>
        <w:ptab w:relativeTo="margin" w:alignment="right" w:leader="dot"/>
      </w:r>
      <w:r>
        <w:rPr>
          <w:color w:val="222222"/>
          <w:sz w:val="23"/>
          <w:szCs w:val="23"/>
        </w:rPr>
        <w:t>3</w:t>
      </w:r>
    </w:p>
    <w:p w14:paraId="237A6E73">
      <w:pPr>
        <w:tabs>
          <w:tab w:val="right" w:pos="9026"/>
        </w:tabs>
        <w:spacing w:after="160"/>
      </w:pPr>
      <w:r>
        <w:rPr>
          <w:color w:val="222222"/>
          <w:sz w:val="23"/>
          <w:szCs w:val="23"/>
        </w:rPr>
        <w:t>2. Scenario &amp; Requirements</w:t>
      </w:r>
      <w:r>
        <w:ptab w:relativeTo="margin" w:alignment="right" w:leader="dot"/>
      </w:r>
      <w:r>
        <w:rPr>
          <w:color w:val="222222"/>
          <w:sz w:val="23"/>
          <w:szCs w:val="23"/>
        </w:rPr>
        <w:t>3</w:t>
      </w:r>
    </w:p>
    <w:p w14:paraId="4F471D6C">
      <w:pPr>
        <w:tabs>
          <w:tab w:val="right" w:pos="9026"/>
        </w:tabs>
        <w:spacing w:after="160"/>
      </w:pPr>
      <w:r>
        <w:rPr>
          <w:color w:val="222222"/>
          <w:sz w:val="23"/>
          <w:szCs w:val="23"/>
        </w:rPr>
        <w:t>3. Network Topology</w:t>
      </w:r>
      <w:r>
        <w:ptab w:relativeTo="margin" w:alignment="right" w:leader="dot"/>
      </w:r>
      <w:r>
        <w:rPr>
          <w:color w:val="222222"/>
          <w:sz w:val="23"/>
          <w:szCs w:val="23"/>
        </w:rPr>
        <w:t>3</w:t>
      </w:r>
    </w:p>
    <w:p w14:paraId="56F64705">
      <w:pPr>
        <w:tabs>
          <w:tab w:val="right" w:pos="9026"/>
        </w:tabs>
        <w:spacing w:after="160"/>
      </w:pPr>
      <w:r>
        <w:rPr>
          <w:color w:val="222222"/>
          <w:sz w:val="23"/>
          <w:szCs w:val="23"/>
        </w:rPr>
        <w:t>4. IP Addressing &amp; VLSM Plan</w:t>
      </w:r>
      <w:r>
        <w:ptab w:relativeTo="margin" w:alignment="right" w:leader="dot"/>
      </w:r>
      <w:r>
        <w:rPr>
          <w:color w:val="222222"/>
          <w:sz w:val="23"/>
          <w:szCs w:val="23"/>
        </w:rPr>
        <w:t>4</w:t>
      </w:r>
    </w:p>
    <w:p w14:paraId="4A1A0AF1">
      <w:pPr>
        <w:tabs>
          <w:tab w:val="right" w:pos="9026"/>
        </w:tabs>
        <w:spacing w:after="160"/>
      </w:pPr>
      <w:r>
        <w:rPr>
          <w:color w:val="222222"/>
          <w:sz w:val="23"/>
          <w:szCs w:val="23"/>
        </w:rPr>
        <w:t>5. Lab Initialization &amp; Secure Management (Phase 2)</w:t>
      </w:r>
      <w:r>
        <w:ptab w:relativeTo="margin" w:alignment="right" w:leader="dot"/>
      </w:r>
      <w:r>
        <w:rPr>
          <w:color w:val="222222"/>
          <w:sz w:val="23"/>
          <w:szCs w:val="23"/>
        </w:rPr>
        <w:t>5</w:t>
      </w:r>
    </w:p>
    <w:p w14:paraId="1DD78EFC">
      <w:pPr>
        <w:tabs>
          <w:tab w:val="right" w:pos="9026"/>
        </w:tabs>
        <w:spacing w:after="160"/>
      </w:pPr>
      <w:r>
        <w:rPr>
          <w:color w:val="222222"/>
          <w:sz w:val="23"/>
          <w:szCs w:val="23"/>
        </w:rPr>
        <w:t>6. Layer-2 Segmentation &amp; Trunking (Phase 3)</w:t>
      </w:r>
      <w:r>
        <w:ptab w:relativeTo="margin" w:alignment="right" w:leader="dot"/>
      </w:r>
      <w:r>
        <w:rPr>
          <w:color w:val="222222"/>
          <w:sz w:val="23"/>
          <w:szCs w:val="23"/>
        </w:rPr>
        <w:t>8</w:t>
      </w:r>
    </w:p>
    <w:p w14:paraId="6DA86261">
      <w:pPr>
        <w:tabs>
          <w:tab w:val="right" w:pos="9026"/>
        </w:tabs>
        <w:spacing w:after="160"/>
      </w:pPr>
      <w:r>
        <w:rPr>
          <w:color w:val="222222"/>
          <w:sz w:val="23"/>
          <w:szCs w:val="23"/>
        </w:rPr>
        <w:t>7. Inter-VLAN Routing &amp; 802.1Q Trunking (Phase 5)</w:t>
      </w:r>
      <w:r>
        <w:ptab w:relativeTo="margin" w:alignment="right" w:leader="dot"/>
      </w:r>
      <w:r>
        <w:rPr>
          <w:color w:val="222222"/>
          <w:sz w:val="23"/>
          <w:szCs w:val="23"/>
        </w:rPr>
        <w:t>10</w:t>
      </w:r>
    </w:p>
    <w:p w14:paraId="19C0BF00">
      <w:pPr>
        <w:tabs>
          <w:tab w:val="right" w:pos="9026"/>
        </w:tabs>
        <w:spacing w:after="160"/>
      </w:pPr>
      <w:r>
        <w:rPr>
          <w:color w:val="222222"/>
          <w:sz w:val="23"/>
          <w:szCs w:val="23"/>
        </w:rPr>
        <w:t>8. Layer 2 Redundancy &amp; High Availability (Phase 6)</w:t>
      </w:r>
      <w:r>
        <w:ptab w:relativeTo="margin" w:alignment="right" w:leader="dot"/>
      </w:r>
      <w:r>
        <w:rPr>
          <w:color w:val="222222"/>
          <w:sz w:val="23"/>
          <w:szCs w:val="23"/>
        </w:rPr>
        <w:t>12</w:t>
      </w:r>
    </w:p>
    <w:p w14:paraId="2BAEC30B">
      <w:pPr>
        <w:tabs>
          <w:tab w:val="right" w:pos="9026"/>
        </w:tabs>
        <w:spacing w:after="160"/>
      </w:pPr>
      <w:r>
        <w:rPr>
          <w:color w:val="222222"/>
          <w:sz w:val="23"/>
          <w:szCs w:val="23"/>
        </w:rPr>
        <w:t>9. Dynamic Routing &amp; Core Connectivity (Phase 7)</w:t>
      </w:r>
      <w:r>
        <w:ptab w:relativeTo="margin" w:alignment="right" w:leader="dot"/>
      </w:r>
      <w:r>
        <w:rPr>
          <w:color w:val="222222"/>
          <w:sz w:val="23"/>
          <w:szCs w:val="23"/>
        </w:rPr>
        <w:t>12</w:t>
      </w:r>
    </w:p>
    <w:p w14:paraId="33A3D448">
      <w:pPr>
        <w:tabs>
          <w:tab w:val="right" w:pos="9026"/>
        </w:tabs>
        <w:spacing w:after="160"/>
      </w:pPr>
      <w:r>
        <w:rPr>
          <w:color w:val="222222"/>
          <w:sz w:val="23"/>
          <w:szCs w:val="23"/>
        </w:rPr>
        <w:t xml:space="preserve">10. High Availability </w:t>
      </w:r>
      <w:r>
        <w:rPr>
          <w:rFonts w:hint="default"/>
          <w:color w:val="222222"/>
          <w:sz w:val="23"/>
          <w:szCs w:val="23"/>
          <w:lang w:val="en-US"/>
        </w:rPr>
        <w:t>-</w:t>
      </w:r>
      <w:r>
        <w:rPr>
          <w:color w:val="222222"/>
          <w:sz w:val="23"/>
          <w:szCs w:val="23"/>
        </w:rPr>
        <w:t xml:space="preserve"> HSRP Gateway Redundancy (Phase 8)</w:t>
      </w:r>
      <w:r>
        <w:ptab w:relativeTo="margin" w:alignment="right" w:leader="dot"/>
      </w:r>
      <w:r>
        <w:rPr>
          <w:color w:val="222222"/>
          <w:sz w:val="23"/>
          <w:szCs w:val="23"/>
        </w:rPr>
        <w:t>15</w:t>
      </w:r>
    </w:p>
    <w:p w14:paraId="63EC374E">
      <w:pPr>
        <w:tabs>
          <w:tab w:val="right" w:pos="9026"/>
        </w:tabs>
        <w:spacing w:after="160"/>
      </w:pPr>
      <w:r>
        <w:rPr>
          <w:color w:val="222222"/>
          <w:sz w:val="23"/>
          <w:szCs w:val="23"/>
        </w:rPr>
        <w:t xml:space="preserve">11. Infrastructure Services </w:t>
      </w:r>
      <w:r>
        <w:rPr>
          <w:rFonts w:hint="default"/>
          <w:color w:val="222222"/>
          <w:sz w:val="23"/>
          <w:szCs w:val="23"/>
          <w:lang w:val="en-US"/>
        </w:rPr>
        <w:t>-</w:t>
      </w:r>
      <w:r>
        <w:rPr>
          <w:color w:val="222222"/>
          <w:sz w:val="23"/>
          <w:szCs w:val="23"/>
        </w:rPr>
        <w:t xml:space="preserve"> DHCP &amp; Edge PAT (Phase 8)</w:t>
      </w:r>
      <w:r>
        <w:ptab w:relativeTo="margin" w:alignment="right" w:leader="dot"/>
      </w:r>
      <w:r>
        <w:rPr>
          <w:color w:val="222222"/>
          <w:sz w:val="23"/>
          <w:szCs w:val="23"/>
        </w:rPr>
        <w:t>17</w:t>
      </w:r>
    </w:p>
    <w:p w14:paraId="54280A20">
      <w:pPr>
        <w:tabs>
          <w:tab w:val="right" w:pos="9026"/>
        </w:tabs>
        <w:spacing w:after="160"/>
      </w:pPr>
      <w:r>
        <w:rPr>
          <w:color w:val="222222"/>
          <w:sz w:val="23"/>
          <w:szCs w:val="23"/>
        </w:rPr>
        <w:t>12. Security Hardening &amp; Traffic Filtering (Phase 9)</w:t>
      </w:r>
      <w:r>
        <w:ptab w:relativeTo="margin" w:alignment="right" w:leader="dot"/>
      </w:r>
      <w:r>
        <w:rPr>
          <w:color w:val="222222"/>
          <w:sz w:val="23"/>
          <w:szCs w:val="23"/>
        </w:rPr>
        <w:t>18</w:t>
      </w:r>
    </w:p>
    <w:p w14:paraId="766AD39D">
      <w:pPr>
        <w:tabs>
          <w:tab w:val="right" w:pos="9026"/>
        </w:tabs>
        <w:spacing w:after="160"/>
      </w:pPr>
      <w:r>
        <w:rPr>
          <w:color w:val="222222"/>
          <w:sz w:val="23"/>
          <w:szCs w:val="23"/>
        </w:rPr>
        <w:t>13. Conclusion &amp; Lessons Learned</w:t>
      </w:r>
      <w:r>
        <w:ptab w:relativeTo="margin" w:alignment="right" w:leader="dot"/>
      </w:r>
      <w:r>
        <w:rPr>
          <w:color w:val="222222"/>
          <w:sz w:val="23"/>
          <w:szCs w:val="23"/>
        </w:rPr>
        <w:t>20</w:t>
      </w:r>
    </w:p>
    <w:p w14:paraId="1D2EE68A">
      <w:r>
        <w:br w:type="page"/>
      </w:r>
    </w:p>
    <w:p w14:paraId="3F06B624">
      <w:pPr>
        <w:pStyle w:val="2"/>
        <w:pBdr>
          <w:bottom w:val="single" w:color="1A1A1A" w:sz="8" w:space="0"/>
        </w:pBdr>
        <w:spacing w:before="360" w:after="160"/>
      </w:pPr>
      <w:r>
        <w:rPr>
          <w:b/>
          <w:bCs/>
          <w:color w:val="1A1A1A"/>
          <w:sz w:val="30"/>
          <w:szCs w:val="30"/>
        </w:rPr>
        <w:t>1. Executive Summary</w:t>
      </w:r>
    </w:p>
    <w:p w14:paraId="5D2CA1E5">
      <w:pPr>
        <w:spacing w:after="160" w:line="276" w:lineRule="auto"/>
      </w:pPr>
      <w:r>
        <w:rPr>
          <w:color w:val="222222"/>
          <w:sz w:val="22"/>
          <w:szCs w:val="22"/>
        </w:rPr>
        <w:t>This capstone project demonstrates the end-to-end design, deployment, and security hardening of a simulated enterprise network infrastructure. Built to CYBERSTER NetSec standards, the environment integrates advanced Layer 2 and Layer 3 protocols to ensure high availability, logical segmentation, and strict access control.</w:t>
      </w:r>
    </w:p>
    <w:p w14:paraId="47338071">
      <w:pPr>
        <w:spacing w:after="160" w:line="276" w:lineRule="auto"/>
      </w:pPr>
      <w:r>
        <w:rPr>
          <w:color w:val="222222"/>
          <w:sz w:val="22"/>
          <w:szCs w:val="22"/>
        </w:rPr>
        <w:t>Core achievements include Router-on-a-Stick (ROAS) inter-VLAN routing, OSPF dynamic routing, Spanning Tree Protocol (STP) and EtherChannel for Layer-2 redundancy, and HSRP for gateway failover.</w:t>
      </w:r>
    </w:p>
    <w:p w14:paraId="089471F8">
      <w:pPr>
        <w:pStyle w:val="2"/>
        <w:pBdr>
          <w:bottom w:val="single" w:color="1A1A1A" w:sz="8" w:space="0"/>
        </w:pBdr>
        <w:spacing w:before="360" w:after="160"/>
      </w:pPr>
      <w:r>
        <w:rPr>
          <w:b/>
          <w:bCs/>
          <w:color w:val="1A1A1A"/>
          <w:sz w:val="30"/>
          <w:szCs w:val="30"/>
        </w:rPr>
        <w:t>2. Scenario &amp; Requirements</w:t>
      </w:r>
    </w:p>
    <w:p w14:paraId="4CB2E520">
      <w:pPr>
        <w:spacing w:after="160" w:line="276" w:lineRule="auto"/>
      </w:pPr>
      <w:r>
        <w:rPr>
          <w:color w:val="222222"/>
          <w:sz w:val="22"/>
          <w:szCs w:val="22"/>
        </w:rPr>
        <w:t>The network is designed for a medium-sized enterprise operating across multiple distinct departments. To satisfy the organization's operational and security policies, the infrastructure must support the following:</w:t>
      </w:r>
    </w:p>
    <w:p w14:paraId="244B6C0E">
      <w:pPr>
        <w:pStyle w:val="16"/>
        <w:numPr>
          <w:ilvl w:val="0"/>
          <w:numId w:val="1"/>
        </w:numPr>
        <w:spacing w:after="100"/>
      </w:pPr>
      <w:r>
        <w:rPr>
          <w:b/>
          <w:bCs/>
          <w:color w:val="1A1A1A"/>
          <w:sz w:val="22"/>
          <w:szCs w:val="22"/>
        </w:rPr>
        <w:t xml:space="preserve">Departmental Isolation: </w:t>
      </w:r>
      <w:r>
        <w:rPr>
          <w:color w:val="222222"/>
          <w:sz w:val="22"/>
          <w:szCs w:val="22"/>
        </w:rPr>
        <w:t>Dedicated VLANs for Human Resources (HR), Information Technology (IT), Finance, and Guest users.</w:t>
      </w:r>
    </w:p>
    <w:p w14:paraId="4200358C">
      <w:pPr>
        <w:pStyle w:val="16"/>
        <w:numPr>
          <w:ilvl w:val="0"/>
          <w:numId w:val="1"/>
        </w:numPr>
        <w:spacing w:after="100"/>
      </w:pPr>
      <w:r>
        <w:rPr>
          <w:b/>
          <w:bCs/>
          <w:color w:val="1A1A1A"/>
          <w:sz w:val="22"/>
          <w:szCs w:val="22"/>
        </w:rPr>
        <w:t xml:space="preserve">Centralized Services: </w:t>
      </w:r>
      <w:r>
        <w:rPr>
          <w:color w:val="222222"/>
          <w:sz w:val="22"/>
          <w:szCs w:val="22"/>
        </w:rPr>
        <w:t>A dedicated Server network for internal enterprise applications.</w:t>
      </w:r>
    </w:p>
    <w:p w14:paraId="291BF36F">
      <w:pPr>
        <w:pStyle w:val="16"/>
        <w:numPr>
          <w:ilvl w:val="0"/>
          <w:numId w:val="1"/>
        </w:numPr>
        <w:spacing w:after="100"/>
      </w:pPr>
      <w:r>
        <w:rPr>
          <w:b/>
          <w:bCs/>
          <w:color w:val="1A1A1A"/>
          <w:sz w:val="22"/>
          <w:szCs w:val="22"/>
        </w:rPr>
        <w:t xml:space="preserve">High Availability: </w:t>
      </w:r>
      <w:r>
        <w:rPr>
          <w:color w:val="222222"/>
          <w:sz w:val="22"/>
          <w:szCs w:val="22"/>
        </w:rPr>
        <w:t>Redundant edge routing, distribution switching, and access uplinks to eliminate single points of failure.</w:t>
      </w:r>
    </w:p>
    <w:p w14:paraId="0CA67F38">
      <w:pPr>
        <w:pStyle w:val="16"/>
        <w:numPr>
          <w:ilvl w:val="0"/>
          <w:numId w:val="1"/>
        </w:numPr>
        <w:spacing w:after="100"/>
      </w:pPr>
      <w:r>
        <w:rPr>
          <w:b/>
          <w:bCs/>
          <w:color w:val="1A1A1A"/>
          <w:sz w:val="22"/>
          <w:szCs w:val="22"/>
        </w:rPr>
        <w:t xml:space="preserve">Security &amp; Access Control: </w:t>
      </w:r>
      <w:r>
        <w:rPr>
          <w:color w:val="222222"/>
          <w:sz w:val="22"/>
          <w:szCs w:val="22"/>
        </w:rPr>
        <w:t>Explicit traffic filtering to isolate Guest users from internal resources, alongside Layer 2 hardening techniques (Port Security, DHCP Snooping).</w:t>
      </w:r>
    </w:p>
    <w:p w14:paraId="7EE5F5CC">
      <w:pPr>
        <w:pStyle w:val="2"/>
        <w:pBdr>
          <w:bottom w:val="single" w:color="1A1A1A" w:sz="8" w:space="0"/>
        </w:pBdr>
        <w:spacing w:before="360" w:after="160"/>
      </w:pPr>
      <w:r>
        <w:rPr>
          <w:b/>
          <w:bCs/>
          <w:color w:val="1A1A1A"/>
          <w:sz w:val="30"/>
          <w:szCs w:val="30"/>
        </w:rPr>
        <w:t>3. Network Topology</w:t>
      </w:r>
    </w:p>
    <w:p w14:paraId="2112080A">
      <w:pPr>
        <w:spacing w:after="160" w:line="276" w:lineRule="auto"/>
      </w:pPr>
      <w:r>
        <w:rPr>
          <w:color w:val="222222"/>
          <w:sz w:val="22"/>
          <w:szCs w:val="22"/>
        </w:rPr>
        <w:t>The physical and logical topology utilizes a hierarchical three-tier design (Edge/Core, Distribution, Access).</w:t>
      </w:r>
    </w:p>
    <w:p w14:paraId="04B79C5A">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572000" cy="3170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3170555"/>
                    </a:xfrm>
                    <a:prstGeom prst="rect">
                      <a:avLst/>
                    </a:prstGeom>
                  </pic:spPr>
                </pic:pic>
              </a:graphicData>
            </a:graphic>
          </wp:inline>
        </w:drawing>
      </w:r>
    </w:p>
    <w:p w14:paraId="6B4849CD">
      <w:pPr>
        <w:spacing w:after="240"/>
        <w:jc w:val="center"/>
      </w:pPr>
      <w:r>
        <w:rPr>
          <w:i/>
          <w:iCs/>
          <w:color w:val="5A5A5A"/>
          <w:sz w:val="18"/>
          <w:szCs w:val="18"/>
        </w:rPr>
        <w:t xml:space="preserve">Figure 3.1 </w:t>
      </w:r>
      <w:r>
        <w:rPr>
          <w:rFonts w:hint="default"/>
          <w:i/>
          <w:iCs/>
          <w:color w:val="5A5A5A"/>
          <w:sz w:val="18"/>
          <w:szCs w:val="18"/>
          <w:lang w:val="en-US"/>
        </w:rPr>
        <w:t>-</w:t>
      </w:r>
      <w:r>
        <w:rPr>
          <w:i/>
          <w:iCs/>
          <w:color w:val="5A5A5A"/>
          <w:sz w:val="18"/>
          <w:szCs w:val="18"/>
        </w:rPr>
        <w:t xml:space="preserve"> Hierarchical three-tier enterprise topology: Core (ISP + Edge_R1/Edge_R2), Distribution (Dist_SW1/Dist_SW2), and Access layer switches serving each department.</w:t>
      </w:r>
    </w:p>
    <w:p w14:paraId="4E3FA62D">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572000" cy="2733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572000" cy="2733675"/>
                    </a:xfrm>
                    <a:prstGeom prst="rect">
                      <a:avLst/>
                    </a:prstGeom>
                  </pic:spPr>
                </pic:pic>
              </a:graphicData>
            </a:graphic>
          </wp:inline>
        </w:drawing>
      </w:r>
    </w:p>
    <w:p w14:paraId="1A58B9B9">
      <w:pPr>
        <w:spacing w:after="240"/>
        <w:jc w:val="center"/>
      </w:pPr>
      <w:r>
        <w:rPr>
          <w:i/>
          <w:iCs/>
          <w:color w:val="5A5A5A"/>
          <w:sz w:val="18"/>
          <w:szCs w:val="18"/>
        </w:rPr>
        <w:t xml:space="preserve">Figure 3.2 </w:t>
      </w:r>
      <w:r>
        <w:rPr>
          <w:rFonts w:hint="default"/>
          <w:i/>
          <w:iCs/>
          <w:color w:val="5A5A5A"/>
          <w:sz w:val="18"/>
          <w:szCs w:val="18"/>
          <w:lang w:val="en-US"/>
        </w:rPr>
        <w:t>-</w:t>
      </w:r>
      <w:r>
        <w:rPr>
          <w:i/>
          <w:iCs/>
          <w:color w:val="5A5A5A"/>
          <w:sz w:val="18"/>
          <w:szCs w:val="18"/>
        </w:rPr>
        <w:t xml:space="preserve"> Final validated topology with all interface and port labels confirmed post-deployment.</w:t>
      </w:r>
    </w:p>
    <w:p w14:paraId="56AE8C66">
      <w:pPr>
        <w:pStyle w:val="2"/>
        <w:pBdr>
          <w:bottom w:val="single" w:color="1A1A1A" w:sz="8" w:space="0"/>
        </w:pBdr>
        <w:spacing w:before="360" w:after="160"/>
      </w:pPr>
      <w:r>
        <w:rPr>
          <w:b/>
          <w:bCs/>
          <w:color w:val="1A1A1A"/>
          <w:sz w:val="30"/>
          <w:szCs w:val="30"/>
        </w:rPr>
        <w:t>4. IP Addressing &amp; VLSM Plan</w:t>
      </w:r>
    </w:p>
    <w:p w14:paraId="675B7D8A">
      <w:pPr>
        <w:spacing w:after="160" w:line="276" w:lineRule="auto"/>
      </w:pPr>
      <w:r>
        <w:rPr>
          <w:color w:val="222222"/>
          <w:sz w:val="22"/>
          <w:szCs w:val="22"/>
        </w:rPr>
        <w:t>A Variable Length Subnet Mask (VLSM) addressing scheme was calculated to efficiently allocate IP space across the required VLANs without overlapping. The following table defines the network boundaries, gateways, and primary use cases.</w:t>
      </w:r>
    </w:p>
    <w:tbl>
      <w:tblPr>
        <w:tblStyle w:val="9"/>
        <w:tblW w:w="9440" w:type="dxa"/>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autofit"/>
        <w:tblCellMar>
          <w:top w:w="0" w:type="dxa"/>
          <w:left w:w="10" w:type="dxa"/>
          <w:bottom w:w="0" w:type="dxa"/>
          <w:right w:w="10" w:type="dxa"/>
        </w:tblCellMar>
      </w:tblPr>
      <w:tblGrid>
        <w:gridCol w:w="1700"/>
        <w:gridCol w:w="1700"/>
        <w:gridCol w:w="2200"/>
        <w:gridCol w:w="1700"/>
        <w:gridCol w:w="2140"/>
      </w:tblGrid>
      <w:tr w14:paraId="637AF72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tblHeader/>
          <w:jc w:val="center"/>
        </w:trPr>
        <w:tc>
          <w:tcPr>
            <w:tcW w:w="1700" w:type="dxa"/>
            <w:shd w:val="clear" w:color="auto" w:fill="1A1A1A"/>
            <w:tcMar>
              <w:top w:w="100" w:type="dxa"/>
              <w:left w:w="120" w:type="dxa"/>
              <w:bottom w:w="100" w:type="dxa"/>
              <w:right w:w="120" w:type="dxa"/>
            </w:tcMar>
            <w:vAlign w:val="center"/>
          </w:tcPr>
          <w:p w14:paraId="009C10A2">
            <w:r>
              <w:rPr>
                <w:b/>
                <w:bCs/>
                <w:color w:val="FFFFFF"/>
                <w:sz w:val="19"/>
                <w:szCs w:val="19"/>
              </w:rPr>
              <w:t>Network / VLAN</w:t>
            </w:r>
          </w:p>
        </w:tc>
        <w:tc>
          <w:tcPr>
            <w:tcW w:w="1700" w:type="dxa"/>
            <w:shd w:val="clear" w:color="auto" w:fill="1A1A1A"/>
            <w:tcMar>
              <w:top w:w="100" w:type="dxa"/>
              <w:left w:w="120" w:type="dxa"/>
              <w:bottom w:w="100" w:type="dxa"/>
              <w:right w:w="120" w:type="dxa"/>
            </w:tcMar>
            <w:vAlign w:val="center"/>
          </w:tcPr>
          <w:p w14:paraId="5FA7D575">
            <w:r>
              <w:rPr>
                <w:b/>
                <w:bCs/>
                <w:color w:val="FFFFFF"/>
                <w:sz w:val="19"/>
                <w:szCs w:val="19"/>
              </w:rPr>
              <w:t>Network Address</w:t>
            </w:r>
          </w:p>
        </w:tc>
        <w:tc>
          <w:tcPr>
            <w:tcW w:w="2200" w:type="dxa"/>
            <w:shd w:val="clear" w:color="auto" w:fill="1A1A1A"/>
            <w:tcMar>
              <w:top w:w="100" w:type="dxa"/>
              <w:left w:w="120" w:type="dxa"/>
              <w:bottom w:w="100" w:type="dxa"/>
              <w:right w:w="120" w:type="dxa"/>
            </w:tcMar>
            <w:vAlign w:val="center"/>
          </w:tcPr>
          <w:p w14:paraId="558618FF">
            <w:r>
              <w:rPr>
                <w:b/>
                <w:bCs/>
                <w:color w:val="FFFFFF"/>
                <w:sz w:val="19"/>
                <w:szCs w:val="19"/>
              </w:rPr>
              <w:t>Subnet Mask (/CIDR)</w:t>
            </w:r>
          </w:p>
        </w:tc>
        <w:tc>
          <w:tcPr>
            <w:tcW w:w="1700" w:type="dxa"/>
            <w:shd w:val="clear" w:color="auto" w:fill="1A1A1A"/>
            <w:tcMar>
              <w:top w:w="100" w:type="dxa"/>
              <w:left w:w="120" w:type="dxa"/>
              <w:bottom w:w="100" w:type="dxa"/>
              <w:right w:w="120" w:type="dxa"/>
            </w:tcMar>
            <w:vAlign w:val="center"/>
          </w:tcPr>
          <w:p w14:paraId="7173C101">
            <w:r>
              <w:rPr>
                <w:b/>
                <w:bCs/>
                <w:color w:val="FFFFFF"/>
                <w:sz w:val="19"/>
                <w:szCs w:val="19"/>
              </w:rPr>
              <w:t>Default Gateway</w:t>
            </w:r>
          </w:p>
        </w:tc>
        <w:tc>
          <w:tcPr>
            <w:tcW w:w="2140" w:type="dxa"/>
            <w:shd w:val="clear" w:color="auto" w:fill="1A1A1A"/>
            <w:tcMar>
              <w:top w:w="100" w:type="dxa"/>
              <w:left w:w="120" w:type="dxa"/>
              <w:bottom w:w="100" w:type="dxa"/>
              <w:right w:w="120" w:type="dxa"/>
            </w:tcMar>
            <w:vAlign w:val="center"/>
          </w:tcPr>
          <w:p w14:paraId="17B5D004">
            <w:r>
              <w:rPr>
                <w:b/>
                <w:bCs/>
                <w:color w:val="FFFFFF"/>
                <w:sz w:val="19"/>
                <w:szCs w:val="19"/>
              </w:rPr>
              <w:t>Purpose</w:t>
            </w:r>
          </w:p>
        </w:tc>
      </w:tr>
      <w:tr w14:paraId="39F2C75A">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1700" w:type="dxa"/>
            <w:tcMar>
              <w:top w:w="100" w:type="dxa"/>
              <w:left w:w="120" w:type="dxa"/>
              <w:bottom w:w="100" w:type="dxa"/>
              <w:right w:w="120" w:type="dxa"/>
            </w:tcMar>
            <w:vAlign w:val="center"/>
          </w:tcPr>
          <w:p w14:paraId="6982D3D9">
            <w:r>
              <w:rPr>
                <w:b w:val="0"/>
                <w:bCs w:val="0"/>
                <w:color w:val="222222"/>
                <w:sz w:val="19"/>
                <w:szCs w:val="19"/>
              </w:rPr>
              <w:t>HR (VLAN 10)</w:t>
            </w:r>
          </w:p>
        </w:tc>
        <w:tc>
          <w:tcPr>
            <w:tcW w:w="1700" w:type="dxa"/>
            <w:tcMar>
              <w:top w:w="100" w:type="dxa"/>
              <w:left w:w="120" w:type="dxa"/>
              <w:bottom w:w="100" w:type="dxa"/>
              <w:right w:w="120" w:type="dxa"/>
            </w:tcMar>
            <w:vAlign w:val="center"/>
          </w:tcPr>
          <w:p w14:paraId="1143E210">
            <w:r>
              <w:rPr>
                <w:b w:val="0"/>
                <w:bCs w:val="0"/>
                <w:color w:val="222222"/>
                <w:sz w:val="19"/>
                <w:szCs w:val="19"/>
              </w:rPr>
              <w:t>192.168.10.0</w:t>
            </w:r>
          </w:p>
        </w:tc>
        <w:tc>
          <w:tcPr>
            <w:tcW w:w="2200" w:type="dxa"/>
            <w:tcMar>
              <w:top w:w="100" w:type="dxa"/>
              <w:left w:w="120" w:type="dxa"/>
              <w:bottom w:w="100" w:type="dxa"/>
              <w:right w:w="120" w:type="dxa"/>
            </w:tcMar>
            <w:vAlign w:val="center"/>
          </w:tcPr>
          <w:p w14:paraId="043E4918">
            <w:r>
              <w:rPr>
                <w:b w:val="0"/>
                <w:bCs w:val="0"/>
                <w:color w:val="222222"/>
                <w:sz w:val="19"/>
                <w:szCs w:val="19"/>
              </w:rPr>
              <w:t>255.255.255.224 (/27)</w:t>
            </w:r>
          </w:p>
        </w:tc>
        <w:tc>
          <w:tcPr>
            <w:tcW w:w="1700" w:type="dxa"/>
            <w:tcMar>
              <w:top w:w="100" w:type="dxa"/>
              <w:left w:w="120" w:type="dxa"/>
              <w:bottom w:w="100" w:type="dxa"/>
              <w:right w:w="120" w:type="dxa"/>
            </w:tcMar>
            <w:vAlign w:val="center"/>
          </w:tcPr>
          <w:p w14:paraId="2C8452C9">
            <w:r>
              <w:rPr>
                <w:b w:val="0"/>
                <w:bCs w:val="0"/>
                <w:color w:val="222222"/>
                <w:sz w:val="19"/>
                <w:szCs w:val="19"/>
              </w:rPr>
              <w:t>192.168.10.1</w:t>
            </w:r>
          </w:p>
        </w:tc>
        <w:tc>
          <w:tcPr>
            <w:tcW w:w="2140" w:type="dxa"/>
            <w:tcMar>
              <w:top w:w="100" w:type="dxa"/>
              <w:left w:w="120" w:type="dxa"/>
              <w:bottom w:w="100" w:type="dxa"/>
              <w:right w:w="120" w:type="dxa"/>
            </w:tcMar>
            <w:vAlign w:val="center"/>
          </w:tcPr>
          <w:p w14:paraId="6EB19E93">
            <w:r>
              <w:rPr>
                <w:b w:val="0"/>
                <w:bCs w:val="0"/>
                <w:color w:val="222222"/>
                <w:sz w:val="19"/>
                <w:szCs w:val="19"/>
              </w:rPr>
              <w:t>Human Resources users</w:t>
            </w:r>
          </w:p>
        </w:tc>
      </w:tr>
      <w:tr w14:paraId="618C7A8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1700" w:type="dxa"/>
            <w:shd w:val="clear" w:color="auto" w:fill="F0F0F0"/>
            <w:tcMar>
              <w:top w:w="100" w:type="dxa"/>
              <w:left w:w="120" w:type="dxa"/>
              <w:bottom w:w="100" w:type="dxa"/>
              <w:right w:w="120" w:type="dxa"/>
            </w:tcMar>
            <w:vAlign w:val="center"/>
          </w:tcPr>
          <w:p w14:paraId="39701CCA">
            <w:r>
              <w:rPr>
                <w:b w:val="0"/>
                <w:bCs w:val="0"/>
                <w:color w:val="222222"/>
                <w:sz w:val="19"/>
                <w:szCs w:val="19"/>
              </w:rPr>
              <w:t>IT (VLAN 20)</w:t>
            </w:r>
          </w:p>
        </w:tc>
        <w:tc>
          <w:tcPr>
            <w:tcW w:w="1700" w:type="dxa"/>
            <w:shd w:val="clear" w:color="auto" w:fill="F0F0F0"/>
            <w:tcMar>
              <w:top w:w="100" w:type="dxa"/>
              <w:left w:w="120" w:type="dxa"/>
              <w:bottom w:w="100" w:type="dxa"/>
              <w:right w:w="120" w:type="dxa"/>
            </w:tcMar>
            <w:vAlign w:val="center"/>
          </w:tcPr>
          <w:p w14:paraId="3EABB0BC">
            <w:r>
              <w:rPr>
                <w:b w:val="0"/>
                <w:bCs w:val="0"/>
                <w:color w:val="222222"/>
                <w:sz w:val="19"/>
                <w:szCs w:val="19"/>
              </w:rPr>
              <w:t>192.168.20.0</w:t>
            </w:r>
          </w:p>
        </w:tc>
        <w:tc>
          <w:tcPr>
            <w:tcW w:w="2200" w:type="dxa"/>
            <w:shd w:val="clear" w:color="auto" w:fill="F0F0F0"/>
            <w:tcMar>
              <w:top w:w="100" w:type="dxa"/>
              <w:left w:w="120" w:type="dxa"/>
              <w:bottom w:w="100" w:type="dxa"/>
              <w:right w:w="120" w:type="dxa"/>
            </w:tcMar>
            <w:vAlign w:val="center"/>
          </w:tcPr>
          <w:p w14:paraId="59767781">
            <w:r>
              <w:rPr>
                <w:b w:val="0"/>
                <w:bCs w:val="0"/>
                <w:color w:val="222222"/>
                <w:sz w:val="19"/>
                <w:szCs w:val="19"/>
              </w:rPr>
              <w:t>255.255.255.224 (/27)</w:t>
            </w:r>
          </w:p>
        </w:tc>
        <w:tc>
          <w:tcPr>
            <w:tcW w:w="1700" w:type="dxa"/>
            <w:shd w:val="clear" w:color="auto" w:fill="F0F0F0"/>
            <w:tcMar>
              <w:top w:w="100" w:type="dxa"/>
              <w:left w:w="120" w:type="dxa"/>
              <w:bottom w:w="100" w:type="dxa"/>
              <w:right w:w="120" w:type="dxa"/>
            </w:tcMar>
            <w:vAlign w:val="center"/>
          </w:tcPr>
          <w:p w14:paraId="3A7015CC">
            <w:r>
              <w:rPr>
                <w:b w:val="0"/>
                <w:bCs w:val="0"/>
                <w:color w:val="222222"/>
                <w:sz w:val="19"/>
                <w:szCs w:val="19"/>
              </w:rPr>
              <w:t>192.168.20.1</w:t>
            </w:r>
          </w:p>
        </w:tc>
        <w:tc>
          <w:tcPr>
            <w:tcW w:w="2140" w:type="dxa"/>
            <w:shd w:val="clear" w:color="auto" w:fill="F0F0F0"/>
            <w:tcMar>
              <w:top w:w="100" w:type="dxa"/>
              <w:left w:w="120" w:type="dxa"/>
              <w:bottom w:w="100" w:type="dxa"/>
              <w:right w:w="120" w:type="dxa"/>
            </w:tcMar>
            <w:vAlign w:val="center"/>
          </w:tcPr>
          <w:p w14:paraId="1692C3F4">
            <w:r>
              <w:rPr>
                <w:b w:val="0"/>
                <w:bCs w:val="0"/>
                <w:color w:val="222222"/>
                <w:sz w:val="19"/>
                <w:szCs w:val="19"/>
              </w:rPr>
              <w:t>IT / support users</w:t>
            </w:r>
          </w:p>
        </w:tc>
      </w:tr>
      <w:tr w14:paraId="79793AD8">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1700" w:type="dxa"/>
            <w:tcMar>
              <w:top w:w="100" w:type="dxa"/>
              <w:left w:w="120" w:type="dxa"/>
              <w:bottom w:w="100" w:type="dxa"/>
              <w:right w:w="120" w:type="dxa"/>
            </w:tcMar>
            <w:vAlign w:val="center"/>
          </w:tcPr>
          <w:p w14:paraId="27783406">
            <w:r>
              <w:rPr>
                <w:b w:val="0"/>
                <w:bCs w:val="0"/>
                <w:color w:val="222222"/>
                <w:sz w:val="19"/>
                <w:szCs w:val="19"/>
              </w:rPr>
              <w:t>Finance (VLAN 30)</w:t>
            </w:r>
          </w:p>
        </w:tc>
        <w:tc>
          <w:tcPr>
            <w:tcW w:w="1700" w:type="dxa"/>
            <w:tcMar>
              <w:top w:w="100" w:type="dxa"/>
              <w:left w:w="120" w:type="dxa"/>
              <w:bottom w:w="100" w:type="dxa"/>
              <w:right w:w="120" w:type="dxa"/>
            </w:tcMar>
            <w:vAlign w:val="center"/>
          </w:tcPr>
          <w:p w14:paraId="78B98332">
            <w:r>
              <w:rPr>
                <w:b w:val="0"/>
                <w:bCs w:val="0"/>
                <w:color w:val="222222"/>
                <w:sz w:val="19"/>
                <w:szCs w:val="19"/>
              </w:rPr>
              <w:t>192.168.30.0</w:t>
            </w:r>
          </w:p>
        </w:tc>
        <w:tc>
          <w:tcPr>
            <w:tcW w:w="2200" w:type="dxa"/>
            <w:tcMar>
              <w:top w:w="100" w:type="dxa"/>
              <w:left w:w="120" w:type="dxa"/>
              <w:bottom w:w="100" w:type="dxa"/>
              <w:right w:w="120" w:type="dxa"/>
            </w:tcMar>
            <w:vAlign w:val="center"/>
          </w:tcPr>
          <w:p w14:paraId="00232B6E">
            <w:r>
              <w:rPr>
                <w:b w:val="0"/>
                <w:bCs w:val="0"/>
                <w:color w:val="222222"/>
                <w:sz w:val="19"/>
                <w:szCs w:val="19"/>
              </w:rPr>
              <w:t>255.255.255.224 (/27)</w:t>
            </w:r>
          </w:p>
        </w:tc>
        <w:tc>
          <w:tcPr>
            <w:tcW w:w="1700" w:type="dxa"/>
            <w:tcMar>
              <w:top w:w="100" w:type="dxa"/>
              <w:left w:w="120" w:type="dxa"/>
              <w:bottom w:w="100" w:type="dxa"/>
              <w:right w:w="120" w:type="dxa"/>
            </w:tcMar>
            <w:vAlign w:val="center"/>
          </w:tcPr>
          <w:p w14:paraId="394CC65A">
            <w:r>
              <w:rPr>
                <w:b w:val="0"/>
                <w:bCs w:val="0"/>
                <w:color w:val="222222"/>
                <w:sz w:val="19"/>
                <w:szCs w:val="19"/>
              </w:rPr>
              <w:t>192.168.30.1</w:t>
            </w:r>
          </w:p>
        </w:tc>
        <w:tc>
          <w:tcPr>
            <w:tcW w:w="2140" w:type="dxa"/>
            <w:tcMar>
              <w:top w:w="100" w:type="dxa"/>
              <w:left w:w="120" w:type="dxa"/>
              <w:bottom w:w="100" w:type="dxa"/>
              <w:right w:w="120" w:type="dxa"/>
            </w:tcMar>
            <w:vAlign w:val="center"/>
          </w:tcPr>
          <w:p w14:paraId="6F2E36F6">
            <w:r>
              <w:rPr>
                <w:b w:val="0"/>
                <w:bCs w:val="0"/>
                <w:color w:val="222222"/>
                <w:sz w:val="19"/>
                <w:szCs w:val="19"/>
              </w:rPr>
              <w:t>Finance users</w:t>
            </w:r>
          </w:p>
        </w:tc>
      </w:tr>
      <w:tr w14:paraId="4449C7BE">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1700" w:type="dxa"/>
            <w:shd w:val="clear" w:color="auto" w:fill="F0F0F0"/>
            <w:tcMar>
              <w:top w:w="100" w:type="dxa"/>
              <w:left w:w="120" w:type="dxa"/>
              <w:bottom w:w="100" w:type="dxa"/>
              <w:right w:w="120" w:type="dxa"/>
            </w:tcMar>
            <w:vAlign w:val="center"/>
          </w:tcPr>
          <w:p w14:paraId="73156D9D">
            <w:r>
              <w:rPr>
                <w:b w:val="0"/>
                <w:bCs w:val="0"/>
                <w:color w:val="222222"/>
                <w:sz w:val="19"/>
                <w:szCs w:val="19"/>
              </w:rPr>
              <w:t>Guest (VLAN 40)</w:t>
            </w:r>
          </w:p>
        </w:tc>
        <w:tc>
          <w:tcPr>
            <w:tcW w:w="1700" w:type="dxa"/>
            <w:shd w:val="clear" w:color="auto" w:fill="F0F0F0"/>
            <w:tcMar>
              <w:top w:w="100" w:type="dxa"/>
              <w:left w:w="120" w:type="dxa"/>
              <w:bottom w:w="100" w:type="dxa"/>
              <w:right w:w="120" w:type="dxa"/>
            </w:tcMar>
            <w:vAlign w:val="center"/>
          </w:tcPr>
          <w:p w14:paraId="73853FD9">
            <w:r>
              <w:rPr>
                <w:b w:val="0"/>
                <w:bCs w:val="0"/>
                <w:color w:val="222222"/>
                <w:sz w:val="19"/>
                <w:szCs w:val="19"/>
              </w:rPr>
              <w:t>192.168.40.0</w:t>
            </w:r>
          </w:p>
        </w:tc>
        <w:tc>
          <w:tcPr>
            <w:tcW w:w="2200" w:type="dxa"/>
            <w:shd w:val="clear" w:color="auto" w:fill="F0F0F0"/>
            <w:tcMar>
              <w:top w:w="100" w:type="dxa"/>
              <w:left w:w="120" w:type="dxa"/>
              <w:bottom w:w="100" w:type="dxa"/>
              <w:right w:w="120" w:type="dxa"/>
            </w:tcMar>
            <w:vAlign w:val="center"/>
          </w:tcPr>
          <w:p w14:paraId="2A333371">
            <w:r>
              <w:rPr>
                <w:b w:val="0"/>
                <w:bCs w:val="0"/>
                <w:color w:val="222222"/>
                <w:sz w:val="19"/>
                <w:szCs w:val="19"/>
              </w:rPr>
              <w:t>255.255.255.224 (/27)</w:t>
            </w:r>
          </w:p>
        </w:tc>
        <w:tc>
          <w:tcPr>
            <w:tcW w:w="1700" w:type="dxa"/>
            <w:shd w:val="clear" w:color="auto" w:fill="F0F0F0"/>
            <w:tcMar>
              <w:top w:w="100" w:type="dxa"/>
              <w:left w:w="120" w:type="dxa"/>
              <w:bottom w:w="100" w:type="dxa"/>
              <w:right w:w="120" w:type="dxa"/>
            </w:tcMar>
            <w:vAlign w:val="center"/>
          </w:tcPr>
          <w:p w14:paraId="02FCD17A">
            <w:r>
              <w:rPr>
                <w:b w:val="0"/>
                <w:bCs w:val="0"/>
                <w:color w:val="222222"/>
                <w:sz w:val="19"/>
                <w:szCs w:val="19"/>
              </w:rPr>
              <w:t>192.168.40.1</w:t>
            </w:r>
          </w:p>
        </w:tc>
        <w:tc>
          <w:tcPr>
            <w:tcW w:w="2140" w:type="dxa"/>
            <w:shd w:val="clear" w:color="auto" w:fill="F0F0F0"/>
            <w:tcMar>
              <w:top w:w="100" w:type="dxa"/>
              <w:left w:w="120" w:type="dxa"/>
              <w:bottom w:w="100" w:type="dxa"/>
              <w:right w:w="120" w:type="dxa"/>
            </w:tcMar>
            <w:vAlign w:val="center"/>
          </w:tcPr>
          <w:p w14:paraId="57519ADC">
            <w:r>
              <w:rPr>
                <w:b w:val="0"/>
                <w:bCs w:val="0"/>
                <w:color w:val="222222"/>
                <w:sz w:val="19"/>
                <w:szCs w:val="19"/>
              </w:rPr>
              <w:t>Visitor access</w:t>
            </w:r>
          </w:p>
        </w:tc>
      </w:tr>
      <w:tr w14:paraId="7CB6A928">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1700" w:type="dxa"/>
            <w:tcMar>
              <w:top w:w="100" w:type="dxa"/>
              <w:left w:w="120" w:type="dxa"/>
              <w:bottom w:w="100" w:type="dxa"/>
              <w:right w:w="120" w:type="dxa"/>
            </w:tcMar>
            <w:vAlign w:val="center"/>
          </w:tcPr>
          <w:p w14:paraId="15AC1F5A">
            <w:r>
              <w:rPr>
                <w:b w:val="0"/>
                <w:bCs w:val="0"/>
                <w:color w:val="222222"/>
                <w:sz w:val="19"/>
                <w:szCs w:val="19"/>
              </w:rPr>
              <w:t>Servers (VLAN 50)</w:t>
            </w:r>
          </w:p>
        </w:tc>
        <w:tc>
          <w:tcPr>
            <w:tcW w:w="1700" w:type="dxa"/>
            <w:tcMar>
              <w:top w:w="100" w:type="dxa"/>
              <w:left w:w="120" w:type="dxa"/>
              <w:bottom w:w="100" w:type="dxa"/>
              <w:right w:w="120" w:type="dxa"/>
            </w:tcMar>
            <w:vAlign w:val="center"/>
          </w:tcPr>
          <w:p w14:paraId="43E509F1">
            <w:r>
              <w:rPr>
                <w:b w:val="0"/>
                <w:bCs w:val="0"/>
                <w:color w:val="222222"/>
                <w:sz w:val="19"/>
                <w:szCs w:val="19"/>
              </w:rPr>
              <w:t>192.168.50.0</w:t>
            </w:r>
          </w:p>
        </w:tc>
        <w:tc>
          <w:tcPr>
            <w:tcW w:w="2200" w:type="dxa"/>
            <w:tcMar>
              <w:top w:w="100" w:type="dxa"/>
              <w:left w:w="120" w:type="dxa"/>
              <w:bottom w:w="100" w:type="dxa"/>
              <w:right w:w="120" w:type="dxa"/>
            </w:tcMar>
            <w:vAlign w:val="center"/>
          </w:tcPr>
          <w:p w14:paraId="43603939">
            <w:r>
              <w:rPr>
                <w:b w:val="0"/>
                <w:bCs w:val="0"/>
                <w:color w:val="222222"/>
                <w:sz w:val="19"/>
                <w:szCs w:val="19"/>
              </w:rPr>
              <w:t>255.255.255.240 (/28)</w:t>
            </w:r>
          </w:p>
        </w:tc>
        <w:tc>
          <w:tcPr>
            <w:tcW w:w="1700" w:type="dxa"/>
            <w:tcMar>
              <w:top w:w="100" w:type="dxa"/>
              <w:left w:w="120" w:type="dxa"/>
              <w:bottom w:w="100" w:type="dxa"/>
              <w:right w:w="120" w:type="dxa"/>
            </w:tcMar>
            <w:vAlign w:val="center"/>
          </w:tcPr>
          <w:p w14:paraId="41F1D899">
            <w:r>
              <w:rPr>
                <w:b w:val="0"/>
                <w:bCs w:val="0"/>
                <w:color w:val="222222"/>
                <w:sz w:val="19"/>
                <w:szCs w:val="19"/>
              </w:rPr>
              <w:t>192.168.50.1</w:t>
            </w:r>
          </w:p>
        </w:tc>
        <w:tc>
          <w:tcPr>
            <w:tcW w:w="2140" w:type="dxa"/>
            <w:tcMar>
              <w:top w:w="100" w:type="dxa"/>
              <w:left w:w="120" w:type="dxa"/>
              <w:bottom w:w="100" w:type="dxa"/>
              <w:right w:w="120" w:type="dxa"/>
            </w:tcMar>
            <w:vAlign w:val="center"/>
          </w:tcPr>
          <w:p w14:paraId="4329659E">
            <w:r>
              <w:rPr>
                <w:b w:val="0"/>
                <w:bCs w:val="0"/>
                <w:color w:val="222222"/>
                <w:sz w:val="19"/>
                <w:szCs w:val="19"/>
              </w:rPr>
              <w:t>Internal services</w:t>
            </w:r>
          </w:p>
        </w:tc>
      </w:tr>
      <w:tr w14:paraId="486F17CC">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0" w:type="dxa"/>
            <w:left w:w="10" w:type="dxa"/>
            <w:bottom w:w="0" w:type="dxa"/>
            <w:right w:w="10" w:type="dxa"/>
          </w:tblCellMar>
        </w:tblPrEx>
        <w:trPr>
          <w:jc w:val="center"/>
        </w:trPr>
        <w:tc>
          <w:tcPr>
            <w:tcW w:w="1700" w:type="dxa"/>
            <w:shd w:val="clear" w:color="auto" w:fill="F0F0F0"/>
            <w:tcMar>
              <w:top w:w="100" w:type="dxa"/>
              <w:left w:w="120" w:type="dxa"/>
              <w:bottom w:w="100" w:type="dxa"/>
              <w:right w:w="120" w:type="dxa"/>
            </w:tcMar>
            <w:vAlign w:val="center"/>
          </w:tcPr>
          <w:p w14:paraId="1FD4CFFB">
            <w:r>
              <w:rPr>
                <w:b w:val="0"/>
                <w:bCs w:val="0"/>
                <w:color w:val="222222"/>
                <w:sz w:val="19"/>
                <w:szCs w:val="19"/>
              </w:rPr>
              <w:t>Mgmt (VLAN 99)</w:t>
            </w:r>
          </w:p>
        </w:tc>
        <w:tc>
          <w:tcPr>
            <w:tcW w:w="1700" w:type="dxa"/>
            <w:shd w:val="clear" w:color="auto" w:fill="F0F0F0"/>
            <w:tcMar>
              <w:top w:w="100" w:type="dxa"/>
              <w:left w:w="120" w:type="dxa"/>
              <w:bottom w:w="100" w:type="dxa"/>
              <w:right w:w="120" w:type="dxa"/>
            </w:tcMar>
            <w:vAlign w:val="center"/>
          </w:tcPr>
          <w:p w14:paraId="7A0F5AED">
            <w:r>
              <w:rPr>
                <w:b w:val="0"/>
                <w:bCs w:val="0"/>
                <w:color w:val="222222"/>
                <w:sz w:val="19"/>
                <w:szCs w:val="19"/>
              </w:rPr>
              <w:t>192.168.99.0</w:t>
            </w:r>
          </w:p>
        </w:tc>
        <w:tc>
          <w:tcPr>
            <w:tcW w:w="2200" w:type="dxa"/>
            <w:shd w:val="clear" w:color="auto" w:fill="F0F0F0"/>
            <w:tcMar>
              <w:top w:w="100" w:type="dxa"/>
              <w:left w:w="120" w:type="dxa"/>
              <w:bottom w:w="100" w:type="dxa"/>
              <w:right w:w="120" w:type="dxa"/>
            </w:tcMar>
            <w:vAlign w:val="center"/>
          </w:tcPr>
          <w:p w14:paraId="2E12EA07">
            <w:r>
              <w:rPr>
                <w:b w:val="0"/>
                <w:bCs w:val="0"/>
                <w:color w:val="222222"/>
                <w:sz w:val="19"/>
                <w:szCs w:val="19"/>
              </w:rPr>
              <w:t>255.255.255.240 (/28)</w:t>
            </w:r>
          </w:p>
        </w:tc>
        <w:tc>
          <w:tcPr>
            <w:tcW w:w="1700" w:type="dxa"/>
            <w:shd w:val="clear" w:color="auto" w:fill="F0F0F0"/>
            <w:tcMar>
              <w:top w:w="100" w:type="dxa"/>
              <w:left w:w="120" w:type="dxa"/>
              <w:bottom w:w="100" w:type="dxa"/>
              <w:right w:w="120" w:type="dxa"/>
            </w:tcMar>
            <w:vAlign w:val="center"/>
          </w:tcPr>
          <w:p w14:paraId="4F6BE4B6">
            <w:r>
              <w:rPr>
                <w:b w:val="0"/>
                <w:bCs w:val="0"/>
                <w:color w:val="222222"/>
                <w:sz w:val="19"/>
                <w:szCs w:val="19"/>
              </w:rPr>
              <w:t>192.168.99.1</w:t>
            </w:r>
          </w:p>
        </w:tc>
        <w:tc>
          <w:tcPr>
            <w:tcW w:w="2140" w:type="dxa"/>
            <w:shd w:val="clear" w:color="auto" w:fill="F0F0F0"/>
            <w:tcMar>
              <w:top w:w="100" w:type="dxa"/>
              <w:left w:w="120" w:type="dxa"/>
              <w:bottom w:w="100" w:type="dxa"/>
              <w:right w:w="120" w:type="dxa"/>
            </w:tcMar>
            <w:vAlign w:val="center"/>
          </w:tcPr>
          <w:p w14:paraId="1BAB5A40">
            <w:r>
              <w:rPr>
                <w:b w:val="0"/>
                <w:bCs w:val="0"/>
                <w:color w:val="222222"/>
                <w:sz w:val="19"/>
                <w:szCs w:val="19"/>
              </w:rPr>
              <w:t>Switch / Router management</w:t>
            </w:r>
          </w:p>
        </w:tc>
      </w:tr>
    </w:tbl>
    <w:p w14:paraId="4B06DA91">
      <w:pPr>
        <w:spacing w:before="200"/>
      </w:pPr>
    </w:p>
    <w:p w14:paraId="49552BB5">
      <w:r>
        <w:br w:type="page"/>
      </w:r>
    </w:p>
    <w:p w14:paraId="5A53CD0E">
      <w:pPr>
        <w:pStyle w:val="2"/>
        <w:pBdr>
          <w:bottom w:val="single" w:color="1A1A1A" w:sz="8" w:space="0"/>
        </w:pBdr>
        <w:spacing w:before="360" w:after="160"/>
      </w:pPr>
      <w:r>
        <w:rPr>
          <w:b/>
          <w:bCs/>
          <w:color w:val="1A1A1A"/>
          <w:sz w:val="30"/>
          <w:szCs w:val="30"/>
        </w:rPr>
        <w:t>5. Lab Initialization &amp; Secure Management (Phase 2)</w:t>
      </w:r>
    </w:p>
    <w:p w14:paraId="6A02E853">
      <w:pPr>
        <w:spacing w:after="160" w:line="276" w:lineRule="auto"/>
      </w:pPr>
      <w:r>
        <w:rPr>
          <w:color w:val="222222"/>
          <w:sz w:val="22"/>
          <w:szCs w:val="22"/>
        </w:rPr>
        <w:t>To ensure the infrastructure is securely managed from the outset, basic device initialization and secure remote access protocols were implemented across the distribution layer.</w:t>
      </w:r>
    </w:p>
    <w:p w14:paraId="7DD06B5A">
      <w:pPr>
        <w:pStyle w:val="16"/>
        <w:numPr>
          <w:ilvl w:val="0"/>
          <w:numId w:val="1"/>
        </w:numPr>
        <w:spacing w:after="100"/>
      </w:pPr>
      <w:r>
        <w:rPr>
          <w:b/>
          <w:bCs/>
          <w:color w:val="1A1A1A"/>
          <w:sz w:val="22"/>
          <w:szCs w:val="22"/>
        </w:rPr>
        <w:t xml:space="preserve">Device Identification: </w:t>
      </w:r>
      <w:r>
        <w:rPr>
          <w:color w:val="222222"/>
          <w:sz w:val="22"/>
          <w:szCs w:val="22"/>
        </w:rPr>
        <w:t>Hostnames (Dist_SW1, Dist_SW2) were applied for clear identification.</w:t>
      </w:r>
    </w:p>
    <w:p w14:paraId="5EA59D09">
      <w:pPr>
        <w:pStyle w:val="16"/>
        <w:numPr>
          <w:ilvl w:val="0"/>
          <w:numId w:val="1"/>
        </w:numPr>
        <w:spacing w:after="100"/>
      </w:pPr>
      <w:r>
        <w:rPr>
          <w:b/>
          <w:bCs/>
          <w:color w:val="1A1A1A"/>
          <w:sz w:val="22"/>
          <w:szCs w:val="22"/>
        </w:rPr>
        <w:t xml:space="preserve">Privilege Escalation Security: </w:t>
      </w:r>
      <w:r>
        <w:rPr>
          <w:color w:val="222222"/>
          <w:sz w:val="22"/>
          <w:szCs w:val="22"/>
        </w:rPr>
        <w:t>The enable secret command was utilized to encrypt the privileged EXEC mode password.</w:t>
      </w:r>
    </w:p>
    <w:p w14:paraId="0E77A6D6">
      <w:pPr>
        <w:pStyle w:val="16"/>
        <w:numPr>
          <w:ilvl w:val="0"/>
          <w:numId w:val="1"/>
        </w:numPr>
        <w:spacing w:after="100"/>
      </w:pPr>
      <w:r>
        <w:rPr>
          <w:b/>
          <w:bCs/>
          <w:color w:val="1A1A1A"/>
          <w:sz w:val="22"/>
          <w:szCs w:val="22"/>
        </w:rPr>
        <w:t xml:space="preserve">Secure Remote Access (SSH): </w:t>
      </w:r>
      <w:r>
        <w:rPr>
          <w:color w:val="222222"/>
          <w:sz w:val="22"/>
          <w:szCs w:val="22"/>
        </w:rPr>
        <w:t>Telnet was explicitly disabled on all VTY lines (transport input ssh). A local authentication database was created, and 1024-bit RSA crypto keys were generated using the cyberster.local domain.</w:t>
      </w:r>
    </w:p>
    <w:p w14:paraId="073BB0BE">
      <w:pPr>
        <w:pStyle w:val="16"/>
        <w:numPr>
          <w:ilvl w:val="0"/>
          <w:numId w:val="1"/>
        </w:numPr>
        <w:spacing w:after="100"/>
      </w:pPr>
      <w:r>
        <w:rPr>
          <w:b/>
          <w:bCs/>
          <w:color w:val="1A1A1A"/>
          <w:sz w:val="22"/>
          <w:szCs w:val="22"/>
        </w:rPr>
        <w:t xml:space="preserve">In-Band Management: </w:t>
      </w:r>
      <w:r>
        <w:rPr>
          <w:color w:val="222222"/>
          <w:sz w:val="22"/>
          <w:szCs w:val="22"/>
        </w:rPr>
        <w:t>Switched Virtual Interfaces (SVIs) for VLAN 99 were configured with static IPs (192.168.99.2 and 192.168.99.3) to permit remote administrative access.</w:t>
      </w:r>
    </w:p>
    <w:p w14:paraId="5179D49F">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34709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3470910"/>
                    </a:xfrm>
                    <a:prstGeom prst="rect">
                      <a:avLst/>
                    </a:prstGeom>
                  </pic:spPr>
                </pic:pic>
              </a:graphicData>
            </a:graphic>
          </wp:inline>
        </w:drawing>
      </w:r>
    </w:p>
    <w:p w14:paraId="65EAB102">
      <w:pPr>
        <w:spacing w:after="240"/>
        <w:jc w:val="center"/>
      </w:pPr>
      <w:r>
        <w:rPr>
          <w:i/>
          <w:iCs/>
          <w:color w:val="5A5A5A"/>
          <w:sz w:val="18"/>
          <w:szCs w:val="18"/>
        </w:rPr>
        <w:t xml:space="preserve">Figure 5.1 </w:t>
      </w:r>
      <w:r>
        <w:rPr>
          <w:rFonts w:hint="default"/>
          <w:i/>
          <w:iCs/>
          <w:color w:val="5A5A5A"/>
          <w:sz w:val="18"/>
          <w:szCs w:val="18"/>
          <w:lang w:val="en-US"/>
        </w:rPr>
        <w:t>-</w:t>
      </w:r>
      <w:r>
        <w:rPr>
          <w:i/>
          <w:iCs/>
          <w:color w:val="5A5A5A"/>
          <w:sz w:val="18"/>
          <w:szCs w:val="18"/>
        </w:rPr>
        <w:t xml:space="preserve"> Dist_SW1 initial hostname, enable secret, domain-name, and RSA key generation (SSH requires ≥768-bit modulus for SSHv2).</w:t>
      </w:r>
    </w:p>
    <w:p w14:paraId="234D7171">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358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381500" cy="3581400"/>
                    </a:xfrm>
                    <a:prstGeom prst="rect">
                      <a:avLst/>
                    </a:prstGeom>
                  </pic:spPr>
                </pic:pic>
              </a:graphicData>
            </a:graphic>
          </wp:inline>
        </w:drawing>
      </w:r>
    </w:p>
    <w:p w14:paraId="2D2822A7">
      <w:pPr>
        <w:spacing w:after="240"/>
        <w:jc w:val="center"/>
      </w:pPr>
      <w:r>
        <w:rPr>
          <w:i/>
          <w:iCs/>
          <w:color w:val="5A5A5A"/>
          <w:sz w:val="18"/>
          <w:szCs w:val="18"/>
        </w:rPr>
        <w:t xml:space="preserve">Figure 5.2 </w:t>
      </w:r>
      <w:r>
        <w:rPr>
          <w:rFonts w:hint="default"/>
          <w:i/>
          <w:iCs/>
          <w:color w:val="5A5A5A"/>
          <w:sz w:val="18"/>
          <w:szCs w:val="18"/>
          <w:lang w:val="en-US"/>
        </w:rPr>
        <w:t>-</w:t>
      </w:r>
      <w:r>
        <w:rPr>
          <w:i/>
          <w:iCs/>
          <w:color w:val="5A5A5A"/>
          <w:sz w:val="18"/>
          <w:szCs w:val="18"/>
        </w:rPr>
        <w:t xml:space="preserve"> Dist_SW1 complete secure-management build: hostname, enable secret, RSA keys, local SSH user, VTY hardening, and VLAN 99 management SVI (192.168.99.2).</w:t>
      </w:r>
    </w:p>
    <w:p w14:paraId="1AB2E830">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367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381500" cy="3670300"/>
                    </a:xfrm>
                    <a:prstGeom prst="rect">
                      <a:avLst/>
                    </a:prstGeom>
                  </pic:spPr>
                </pic:pic>
              </a:graphicData>
            </a:graphic>
          </wp:inline>
        </w:drawing>
      </w:r>
    </w:p>
    <w:p w14:paraId="41B0125F">
      <w:pPr>
        <w:spacing w:after="240"/>
        <w:jc w:val="center"/>
      </w:pPr>
      <w:r>
        <w:rPr>
          <w:i/>
          <w:iCs/>
          <w:color w:val="5A5A5A"/>
          <w:sz w:val="18"/>
          <w:szCs w:val="18"/>
        </w:rPr>
        <w:t xml:space="preserve">Figure 5.3 </w:t>
      </w:r>
      <w:r>
        <w:rPr>
          <w:rFonts w:hint="default"/>
          <w:i/>
          <w:iCs/>
          <w:color w:val="5A5A5A"/>
          <w:sz w:val="18"/>
          <w:szCs w:val="18"/>
          <w:lang w:val="en-US"/>
        </w:rPr>
        <w:t>-</w:t>
      </w:r>
      <w:r>
        <w:rPr>
          <w:i/>
          <w:iCs/>
          <w:color w:val="5A5A5A"/>
          <w:sz w:val="18"/>
          <w:szCs w:val="18"/>
        </w:rPr>
        <w:t xml:space="preserve"> Dist_SW2 complete secure-management build with VLAN 99 management SVI (192.168.99.3).</w:t>
      </w:r>
    </w:p>
    <w:p w14:paraId="3209F359">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085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381500" cy="1085850"/>
                    </a:xfrm>
                    <a:prstGeom prst="rect">
                      <a:avLst/>
                    </a:prstGeom>
                  </pic:spPr>
                </pic:pic>
              </a:graphicData>
            </a:graphic>
          </wp:inline>
        </w:drawing>
      </w:r>
    </w:p>
    <w:p w14:paraId="1E0A61DB">
      <w:pPr>
        <w:spacing w:after="240"/>
        <w:jc w:val="center"/>
      </w:pPr>
      <w:r>
        <w:rPr>
          <w:i/>
          <w:iCs/>
          <w:color w:val="5A5A5A"/>
          <w:sz w:val="18"/>
          <w:szCs w:val="18"/>
        </w:rPr>
        <w:t xml:space="preserve">Figure 5.4 </w:t>
      </w:r>
      <w:r>
        <w:rPr>
          <w:rFonts w:hint="default"/>
          <w:i/>
          <w:iCs/>
          <w:color w:val="5A5A5A"/>
          <w:sz w:val="18"/>
          <w:szCs w:val="18"/>
          <w:lang w:val="en-US"/>
        </w:rPr>
        <w:t>-</w:t>
      </w:r>
      <w:r>
        <w:rPr>
          <w:i/>
          <w:iCs/>
          <w:color w:val="5A5A5A"/>
          <w:sz w:val="18"/>
          <w:szCs w:val="18"/>
        </w:rPr>
        <w:t xml:space="preserve"> Management VLAN 99 SVI brought up and confirmed active on the distribution switch.</w:t>
      </w:r>
    </w:p>
    <w:p w14:paraId="1AC6F9D5">
      <w:r>
        <w:rPr>
          <w:b/>
          <w:bCs/>
          <w:color w:val="1A1A1A"/>
          <w:sz w:val="30"/>
          <w:szCs w:val="30"/>
        </w:rPr>
        <w:t>6. Layer-2 Segmentation &amp; Trunking (Phase 3)</w:t>
      </w:r>
    </w:p>
    <w:p w14:paraId="34B45B4D">
      <w:pPr>
        <w:spacing w:after="160" w:line="276" w:lineRule="auto"/>
      </w:pPr>
      <w:r>
        <w:rPr>
          <w:color w:val="222222"/>
          <w:sz w:val="22"/>
          <w:szCs w:val="22"/>
        </w:rPr>
        <w:t>To reduce the broadcast domain blast radius and logically isolate departmental traffic, extensive Layer-2 segmentation was deployed.</w:t>
      </w:r>
    </w:p>
    <w:p w14:paraId="0D1D2302">
      <w:pPr>
        <w:pStyle w:val="16"/>
        <w:numPr>
          <w:ilvl w:val="0"/>
          <w:numId w:val="1"/>
        </w:numPr>
        <w:spacing w:after="100"/>
      </w:pPr>
      <w:r>
        <w:rPr>
          <w:b/>
          <w:bCs/>
          <w:color w:val="1A1A1A"/>
          <w:sz w:val="22"/>
          <w:szCs w:val="22"/>
        </w:rPr>
        <w:t xml:space="preserve">VLAN Database: </w:t>
      </w:r>
      <w:r>
        <w:rPr>
          <w:color w:val="222222"/>
          <w:sz w:val="22"/>
          <w:szCs w:val="22"/>
        </w:rPr>
        <w:t>VLANs 10 (HR), 20 (IT), 30 (Finance), 40 (Guest), 50 (Servers), and 99 (Management) were globally configured on all access and distribution switches.</w:t>
      </w:r>
    </w:p>
    <w:p w14:paraId="7B0944AC">
      <w:pPr>
        <w:pStyle w:val="16"/>
        <w:numPr>
          <w:ilvl w:val="0"/>
          <w:numId w:val="1"/>
        </w:numPr>
        <w:spacing w:after="100"/>
      </w:pPr>
      <w:r>
        <w:rPr>
          <w:b/>
          <w:bCs/>
          <w:color w:val="1A1A1A"/>
          <w:sz w:val="22"/>
          <w:szCs w:val="22"/>
        </w:rPr>
        <w:t xml:space="preserve">Access Ports: </w:t>
      </w:r>
      <w:r>
        <w:rPr>
          <w:color w:val="222222"/>
          <w:sz w:val="22"/>
          <w:szCs w:val="22"/>
        </w:rPr>
        <w:t>Edge interfaces on Acc_SW1, Acc_SW2, and Acc_SW3 were hardcoded to switchport mode access and assigned to their respective departmental VLANs, preventing unauthorized VLAN hopping at the edge.</w:t>
      </w:r>
    </w:p>
    <w:p w14:paraId="21588E18">
      <w:pPr>
        <w:pStyle w:val="16"/>
        <w:numPr>
          <w:ilvl w:val="0"/>
          <w:numId w:val="1"/>
        </w:numPr>
        <w:spacing w:after="100"/>
      </w:pPr>
      <w:r>
        <w:rPr>
          <w:b/>
          <w:bCs/>
          <w:color w:val="1A1A1A"/>
          <w:sz w:val="22"/>
          <w:szCs w:val="22"/>
        </w:rPr>
        <w:t xml:space="preserve">802.1Q Trunking: </w:t>
      </w:r>
      <w:r>
        <w:rPr>
          <w:color w:val="222222"/>
          <w:sz w:val="22"/>
          <w:szCs w:val="22"/>
        </w:rPr>
        <w:t>All inter-switch links and uplinks to the distribution layer were configured as 802.1Q trunks (switchport mode trunk) to carry tagged frames from all VLANs across the infrastructure.</w:t>
      </w:r>
    </w:p>
    <w:p w14:paraId="549776DC">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2486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381500" cy="2486025"/>
                    </a:xfrm>
                    <a:prstGeom prst="rect">
                      <a:avLst/>
                    </a:prstGeom>
                  </pic:spPr>
                </pic:pic>
              </a:graphicData>
            </a:graphic>
          </wp:inline>
        </w:drawing>
      </w:r>
    </w:p>
    <w:p w14:paraId="5C3D0D73">
      <w:pPr>
        <w:spacing w:after="240"/>
        <w:jc w:val="center"/>
      </w:pPr>
      <w:r>
        <w:rPr>
          <w:i/>
          <w:iCs/>
          <w:color w:val="5A5A5A"/>
          <w:sz w:val="18"/>
          <w:szCs w:val="18"/>
        </w:rPr>
        <w:t xml:space="preserve">Figure 6.1 </w:t>
      </w:r>
      <w:r>
        <w:rPr>
          <w:rFonts w:hint="default"/>
          <w:i/>
          <w:iCs/>
          <w:color w:val="5A5A5A"/>
          <w:sz w:val="18"/>
          <w:szCs w:val="18"/>
          <w:lang w:val="en-US"/>
        </w:rPr>
        <w:t>-</w:t>
      </w:r>
      <w:r>
        <w:rPr>
          <w:i/>
          <w:iCs/>
          <w:color w:val="5A5A5A"/>
          <w:sz w:val="18"/>
          <w:szCs w:val="18"/>
        </w:rPr>
        <w:t xml:space="preserve"> Global VLAN database applied consistently across all switches (VLANs 10, 20, 30, 40, 50, 99).</w:t>
      </w:r>
    </w:p>
    <w:p w14:paraId="1EB57856">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390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381500" cy="1390650"/>
                    </a:xfrm>
                    <a:prstGeom prst="rect">
                      <a:avLst/>
                    </a:prstGeom>
                  </pic:spPr>
                </pic:pic>
              </a:graphicData>
            </a:graphic>
          </wp:inline>
        </w:drawing>
      </w:r>
    </w:p>
    <w:p w14:paraId="77F5FDFE">
      <w:pPr>
        <w:spacing w:after="240"/>
        <w:jc w:val="center"/>
      </w:pPr>
      <w:r>
        <w:rPr>
          <w:i/>
          <w:iCs/>
          <w:color w:val="5A5A5A"/>
          <w:sz w:val="18"/>
          <w:szCs w:val="18"/>
        </w:rPr>
        <w:t xml:space="preserve">Figure 6.2 </w:t>
      </w:r>
      <w:r>
        <w:rPr>
          <w:rFonts w:hint="default"/>
          <w:i/>
          <w:iCs/>
          <w:color w:val="5A5A5A"/>
          <w:sz w:val="18"/>
          <w:szCs w:val="18"/>
          <w:lang w:val="en-US"/>
        </w:rPr>
        <w:t>-</w:t>
      </w:r>
      <w:r>
        <w:rPr>
          <w:i/>
          <w:iCs/>
          <w:color w:val="5A5A5A"/>
          <w:sz w:val="18"/>
          <w:szCs w:val="18"/>
        </w:rPr>
        <w:t xml:space="preserve"> Dist_SW1 distribution-to-access downlinks (Fa0/2–6) configured as 802.1Q trunks.</w:t>
      </w:r>
    </w:p>
    <w:p w14:paraId="481EB3FA">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2037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381500" cy="2037080"/>
                    </a:xfrm>
                    <a:prstGeom prst="rect">
                      <a:avLst/>
                    </a:prstGeom>
                  </pic:spPr>
                </pic:pic>
              </a:graphicData>
            </a:graphic>
          </wp:inline>
        </w:drawing>
      </w:r>
    </w:p>
    <w:p w14:paraId="07BFB605">
      <w:pPr>
        <w:spacing w:after="240"/>
        <w:jc w:val="center"/>
      </w:pPr>
      <w:r>
        <w:rPr>
          <w:i/>
          <w:iCs/>
          <w:color w:val="5A5A5A"/>
          <w:sz w:val="18"/>
          <w:szCs w:val="18"/>
        </w:rPr>
        <w:t xml:space="preserve">Figure 6.3 </w:t>
      </w:r>
      <w:r>
        <w:rPr>
          <w:rFonts w:hint="default"/>
          <w:i/>
          <w:iCs/>
          <w:color w:val="5A5A5A"/>
          <w:sz w:val="18"/>
          <w:szCs w:val="18"/>
          <w:lang w:val="en-US"/>
        </w:rPr>
        <w:t>-</w:t>
      </w:r>
      <w:r>
        <w:rPr>
          <w:i/>
          <w:iCs/>
          <w:color w:val="5A5A5A"/>
          <w:sz w:val="18"/>
          <w:szCs w:val="18"/>
        </w:rPr>
        <w:t xml:space="preserve"> Access-switch uplinks (Fa0/1–2) set to trunk mode toward the distribution layer.</w:t>
      </w:r>
    </w:p>
    <w:p w14:paraId="43CFDA00">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98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381500" cy="1981200"/>
                    </a:xfrm>
                    <a:prstGeom prst="rect">
                      <a:avLst/>
                    </a:prstGeom>
                  </pic:spPr>
                </pic:pic>
              </a:graphicData>
            </a:graphic>
          </wp:inline>
        </w:drawing>
      </w:r>
    </w:p>
    <w:p w14:paraId="003CB3EF">
      <w:pPr>
        <w:spacing w:after="240"/>
        <w:jc w:val="center"/>
      </w:pPr>
      <w:r>
        <w:rPr>
          <w:i/>
          <w:iCs/>
          <w:color w:val="5A5A5A"/>
          <w:sz w:val="18"/>
          <w:szCs w:val="18"/>
        </w:rPr>
        <w:t xml:space="preserve">Figure 6.4 </w:t>
      </w:r>
      <w:r>
        <w:rPr>
          <w:rFonts w:hint="default"/>
          <w:i/>
          <w:iCs/>
          <w:color w:val="5A5A5A"/>
          <w:sz w:val="18"/>
          <w:szCs w:val="18"/>
          <w:lang w:val="en-US"/>
        </w:rPr>
        <w:t>-</w:t>
      </w:r>
      <w:r>
        <w:rPr>
          <w:i/>
          <w:iCs/>
          <w:color w:val="5A5A5A"/>
          <w:sz w:val="18"/>
          <w:szCs w:val="18"/>
        </w:rPr>
        <w:t xml:space="preserve"> Acc_SW1 access-port assignment: Fa0/3 → VLAN 50 (Servers), Fa0/4–5 → VLAN 10 (HR).</w:t>
      </w:r>
    </w:p>
    <w:p w14:paraId="539B1CFE">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2128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4381500" cy="1212850"/>
                    </a:xfrm>
                    <a:prstGeom prst="rect">
                      <a:avLst/>
                    </a:prstGeom>
                  </pic:spPr>
                </pic:pic>
              </a:graphicData>
            </a:graphic>
          </wp:inline>
        </w:drawing>
      </w:r>
    </w:p>
    <w:p w14:paraId="633253F3">
      <w:pPr>
        <w:spacing w:after="240"/>
        <w:jc w:val="center"/>
      </w:pPr>
      <w:r>
        <w:rPr>
          <w:i/>
          <w:iCs/>
          <w:color w:val="5A5A5A"/>
          <w:sz w:val="18"/>
          <w:szCs w:val="18"/>
        </w:rPr>
        <w:t xml:space="preserve">Figure 6.5 </w:t>
      </w:r>
      <w:r>
        <w:rPr>
          <w:rFonts w:hint="default"/>
          <w:i/>
          <w:iCs/>
          <w:color w:val="5A5A5A"/>
          <w:sz w:val="18"/>
          <w:szCs w:val="18"/>
          <w:lang w:val="en-US"/>
        </w:rPr>
        <w:t>-</w:t>
      </w:r>
      <w:r>
        <w:rPr>
          <w:i/>
          <w:iCs/>
          <w:color w:val="5A5A5A"/>
          <w:sz w:val="18"/>
          <w:szCs w:val="18"/>
        </w:rPr>
        <w:t xml:space="preserve"> Acc_SW2 access-port assignment: Fa0/3–4 → VLAN 20 (IT).</w:t>
      </w:r>
    </w:p>
    <w:p w14:paraId="15962040">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379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4381500" cy="1379855"/>
                    </a:xfrm>
                    <a:prstGeom prst="rect">
                      <a:avLst/>
                    </a:prstGeom>
                  </pic:spPr>
                </pic:pic>
              </a:graphicData>
            </a:graphic>
          </wp:inline>
        </w:drawing>
      </w:r>
    </w:p>
    <w:p w14:paraId="17AEE8A5">
      <w:pPr>
        <w:spacing w:after="240"/>
        <w:jc w:val="center"/>
        <w:rPr>
          <w:i/>
          <w:iCs/>
          <w:color w:val="5A5A5A"/>
          <w:sz w:val="18"/>
          <w:szCs w:val="18"/>
        </w:rPr>
      </w:pPr>
      <w:r>
        <w:rPr>
          <w:i/>
          <w:iCs/>
          <w:color w:val="5A5A5A"/>
          <w:sz w:val="18"/>
          <w:szCs w:val="18"/>
        </w:rPr>
        <w:t xml:space="preserve">Figure 6.6 </w:t>
      </w:r>
      <w:r>
        <w:rPr>
          <w:rFonts w:hint="default"/>
          <w:i/>
          <w:iCs/>
          <w:color w:val="5A5A5A"/>
          <w:sz w:val="18"/>
          <w:szCs w:val="18"/>
          <w:lang w:val="en-US"/>
        </w:rPr>
        <w:t>-</w:t>
      </w:r>
      <w:r>
        <w:rPr>
          <w:i/>
          <w:iCs/>
          <w:color w:val="5A5A5A"/>
          <w:sz w:val="18"/>
          <w:szCs w:val="18"/>
        </w:rPr>
        <w:t xml:space="preserve"> Acc_SW3 access-port assignment: Fa0/3 → VLAN 30 (Finance), Fa0/4 → VLAN 40 (Guest).</w:t>
      </w:r>
    </w:p>
    <w:p w14:paraId="19A13E15"/>
    <w:p w14:paraId="242BC416"/>
    <w:p w14:paraId="3AE38B25">
      <w:bookmarkStart w:id="0" w:name="_GoBack"/>
      <w:bookmarkEnd w:id="0"/>
    </w:p>
    <w:p w14:paraId="2D412A7C">
      <w:pPr>
        <w:pStyle w:val="2"/>
        <w:pBdr>
          <w:bottom w:val="single" w:color="1A1A1A" w:sz="8" w:space="0"/>
        </w:pBdr>
        <w:spacing w:before="360" w:after="160"/>
      </w:pPr>
      <w:r>
        <w:rPr>
          <w:b/>
          <w:bCs/>
          <w:color w:val="1A1A1A"/>
          <w:sz w:val="30"/>
          <w:szCs w:val="30"/>
        </w:rPr>
        <w:t>7. Inter-VLAN Routing &amp; 802.1Q Trunking (Phase 5)</w:t>
      </w:r>
    </w:p>
    <w:p w14:paraId="5C3B0361">
      <w:pPr>
        <w:spacing w:after="160" w:line="276" w:lineRule="auto"/>
      </w:pPr>
      <w:r>
        <w:rPr>
          <w:color w:val="222222"/>
          <w:sz w:val="22"/>
          <w:szCs w:val="22"/>
        </w:rPr>
        <w:t>To enable necessary cross-departmental communication while maintaining logical security boundaries, a Router-on-a-Stick (ROAS) architecture was deployed at the enterprise edge.</w:t>
      </w:r>
    </w:p>
    <w:p w14:paraId="3A0DB59C">
      <w:pPr>
        <w:pStyle w:val="16"/>
        <w:numPr>
          <w:ilvl w:val="0"/>
          <w:numId w:val="1"/>
        </w:numPr>
        <w:spacing w:after="100"/>
      </w:pPr>
      <w:r>
        <w:rPr>
          <w:b/>
          <w:bCs/>
          <w:color w:val="1A1A1A"/>
          <w:sz w:val="22"/>
          <w:szCs w:val="22"/>
        </w:rPr>
        <w:t xml:space="preserve">Uplink Trunking: </w:t>
      </w:r>
      <w:r>
        <w:rPr>
          <w:color w:val="222222"/>
          <w:sz w:val="22"/>
          <w:szCs w:val="22"/>
        </w:rPr>
        <w:t>The distribution layer uplinks (Fa0/1) were upgraded to 802.1Q trunks to permit tagged frames from all Access VLANs to reach the routing logic.</w:t>
      </w:r>
    </w:p>
    <w:p w14:paraId="2B322396">
      <w:pPr>
        <w:pStyle w:val="16"/>
        <w:numPr>
          <w:ilvl w:val="0"/>
          <w:numId w:val="1"/>
        </w:numPr>
        <w:spacing w:after="100"/>
      </w:pPr>
      <w:r>
        <w:rPr>
          <w:b/>
          <w:bCs/>
          <w:color w:val="1A1A1A"/>
          <w:sz w:val="22"/>
          <w:szCs w:val="22"/>
        </w:rPr>
        <w:t xml:space="preserve">Logical Sub-Interfaces: </w:t>
      </w:r>
      <w:r>
        <w:rPr>
          <w:color w:val="222222"/>
          <w:sz w:val="22"/>
          <w:szCs w:val="22"/>
        </w:rPr>
        <w:t>The Edge_R1 physical interface (Gig0/2) was divided into logical sub-interfaces corresponding to each VLAN.</w:t>
      </w:r>
    </w:p>
    <w:p w14:paraId="41F325AF">
      <w:pPr>
        <w:pStyle w:val="16"/>
        <w:numPr>
          <w:ilvl w:val="0"/>
          <w:numId w:val="1"/>
        </w:numPr>
        <w:spacing w:after="100"/>
      </w:pPr>
      <w:r>
        <w:rPr>
          <w:b/>
          <w:bCs/>
          <w:color w:val="1A1A1A"/>
          <w:sz w:val="22"/>
          <w:szCs w:val="22"/>
        </w:rPr>
        <w:t xml:space="preserve">Encapsulation &amp; Gateways: </w:t>
      </w:r>
      <w:r>
        <w:rPr>
          <w:color w:val="222222"/>
          <w:sz w:val="22"/>
          <w:szCs w:val="22"/>
        </w:rPr>
        <w:t>Each sub-interface was configured with encapsulation dot1Q and assigned the first usable IP address of its respective VLSM block to act as the default gateway for the endpoints.</w:t>
      </w:r>
    </w:p>
    <w:p w14:paraId="166FE3AD">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057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4381500" cy="1057275"/>
                    </a:xfrm>
                    <a:prstGeom prst="rect">
                      <a:avLst/>
                    </a:prstGeom>
                  </pic:spPr>
                </pic:pic>
              </a:graphicData>
            </a:graphic>
          </wp:inline>
        </w:drawing>
      </w:r>
    </w:p>
    <w:p w14:paraId="74E65B1F">
      <w:pPr>
        <w:spacing w:after="240"/>
        <w:jc w:val="center"/>
      </w:pPr>
      <w:r>
        <w:rPr>
          <w:i/>
          <w:iCs/>
          <w:color w:val="5A5A5A"/>
          <w:sz w:val="18"/>
          <w:szCs w:val="18"/>
        </w:rPr>
        <w:t xml:space="preserve">Figure 7.1 </w:t>
      </w:r>
      <w:r>
        <w:rPr>
          <w:rFonts w:hint="default"/>
          <w:i/>
          <w:iCs/>
          <w:color w:val="5A5A5A"/>
          <w:sz w:val="18"/>
          <w:szCs w:val="18"/>
          <w:lang w:val="en-US"/>
        </w:rPr>
        <w:t>-</w:t>
      </w:r>
      <w:r>
        <w:rPr>
          <w:i/>
          <w:iCs/>
          <w:color w:val="5A5A5A"/>
          <w:sz w:val="18"/>
          <w:szCs w:val="18"/>
        </w:rPr>
        <w:t xml:space="preserve"> Dist_SW1 uplink Fa0/1 to Edge_R1 configured as an 802.1Q trunk.</w:t>
      </w:r>
    </w:p>
    <w:p w14:paraId="101136C1">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658995" cy="4692015"/>
            <wp:effectExtent l="0" t="0" r="190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4658995" cy="4692015"/>
                    </a:xfrm>
                    <a:prstGeom prst="rect">
                      <a:avLst/>
                    </a:prstGeom>
                  </pic:spPr>
                </pic:pic>
              </a:graphicData>
            </a:graphic>
          </wp:inline>
        </w:drawing>
      </w:r>
    </w:p>
    <w:p w14:paraId="5B7417E9">
      <w:pPr>
        <w:spacing w:after="240"/>
        <w:jc w:val="center"/>
      </w:pPr>
      <w:r>
        <w:rPr>
          <w:i/>
          <w:iCs/>
          <w:color w:val="5A5A5A"/>
          <w:sz w:val="18"/>
          <w:szCs w:val="18"/>
        </w:rPr>
        <w:t xml:space="preserve">Figure 7.2 </w:t>
      </w:r>
      <w:r>
        <w:rPr>
          <w:rFonts w:hint="default"/>
          <w:i/>
          <w:iCs/>
          <w:color w:val="5A5A5A"/>
          <w:sz w:val="18"/>
          <w:szCs w:val="18"/>
          <w:lang w:val="en-US"/>
        </w:rPr>
        <w:t>-</w:t>
      </w:r>
      <w:r>
        <w:rPr>
          <w:i/>
          <w:iCs/>
          <w:color w:val="5A5A5A"/>
          <w:sz w:val="18"/>
          <w:szCs w:val="18"/>
        </w:rPr>
        <w:t xml:space="preserve"> Edge_R1 Router-on-a-Stick configuration: sub-interfaces Gig0/2.10 through Gig0/2.99, each with dot1Q encapsulation and its VLSM gateway address.</w:t>
      </w:r>
    </w:p>
    <w:p w14:paraId="3E1B0D20">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800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4381500" cy="1800225"/>
                    </a:xfrm>
                    <a:prstGeom prst="rect">
                      <a:avLst/>
                    </a:prstGeom>
                  </pic:spPr>
                </pic:pic>
              </a:graphicData>
            </a:graphic>
          </wp:inline>
        </w:drawing>
      </w:r>
    </w:p>
    <w:p w14:paraId="523FCE8E">
      <w:pPr>
        <w:spacing w:after="240"/>
        <w:jc w:val="center"/>
      </w:pPr>
      <w:r>
        <w:rPr>
          <w:i/>
          <w:iCs/>
          <w:color w:val="5A5A5A"/>
          <w:sz w:val="18"/>
          <w:szCs w:val="18"/>
        </w:rPr>
        <w:t xml:space="preserve">Figure 7.3 </w:t>
      </w:r>
      <w:r>
        <w:rPr>
          <w:rFonts w:hint="default"/>
          <w:i/>
          <w:iCs/>
          <w:color w:val="5A5A5A"/>
          <w:sz w:val="18"/>
          <w:szCs w:val="18"/>
          <w:lang w:val="en-US"/>
        </w:rPr>
        <w:t>-</w:t>
      </w:r>
      <w:r>
        <w:rPr>
          <w:i/>
          <w:iCs/>
          <w:color w:val="5A5A5A"/>
          <w:sz w:val="18"/>
          <w:szCs w:val="18"/>
        </w:rPr>
        <w:t xml:space="preserve"> HR_PC1 endpoint IP configuration (192.168.10.2/27, gateway 192.168.10.1).</w:t>
      </w:r>
    </w:p>
    <w:p w14:paraId="12F524DF">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65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4381500" cy="1657350"/>
                    </a:xfrm>
                    <a:prstGeom prst="rect">
                      <a:avLst/>
                    </a:prstGeom>
                  </pic:spPr>
                </pic:pic>
              </a:graphicData>
            </a:graphic>
          </wp:inline>
        </w:drawing>
      </w:r>
    </w:p>
    <w:p w14:paraId="770936B6">
      <w:pPr>
        <w:spacing w:after="240"/>
        <w:jc w:val="center"/>
      </w:pPr>
      <w:r>
        <w:rPr>
          <w:i/>
          <w:iCs/>
          <w:color w:val="5A5A5A"/>
          <w:sz w:val="18"/>
          <w:szCs w:val="18"/>
        </w:rPr>
        <w:t xml:space="preserve">Figure 7.4 </w:t>
      </w:r>
      <w:r>
        <w:rPr>
          <w:rFonts w:hint="default"/>
          <w:i/>
          <w:iCs/>
          <w:color w:val="5A5A5A"/>
          <w:sz w:val="18"/>
          <w:szCs w:val="18"/>
          <w:lang w:val="en-US"/>
        </w:rPr>
        <w:t>-</w:t>
      </w:r>
      <w:r>
        <w:rPr>
          <w:i/>
          <w:iCs/>
          <w:color w:val="5A5A5A"/>
          <w:sz w:val="18"/>
          <w:szCs w:val="18"/>
        </w:rPr>
        <w:t xml:space="preserve"> Server0 IP configuration (192.168.50.2/28, gateway 192.168.50.1).</w:t>
      </w:r>
    </w:p>
    <w:p w14:paraId="3F6C454C">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191000" cy="2876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4191000" cy="2876550"/>
                    </a:xfrm>
                    <a:prstGeom prst="rect">
                      <a:avLst/>
                    </a:prstGeom>
                  </pic:spPr>
                </pic:pic>
              </a:graphicData>
            </a:graphic>
          </wp:inline>
        </w:drawing>
      </w:r>
    </w:p>
    <w:p w14:paraId="08739317">
      <w:pPr>
        <w:spacing w:after="240"/>
        <w:jc w:val="center"/>
      </w:pPr>
      <w:r>
        <w:rPr>
          <w:i/>
          <w:iCs/>
          <w:color w:val="5A5A5A"/>
          <w:sz w:val="18"/>
          <w:szCs w:val="18"/>
        </w:rPr>
        <w:t xml:space="preserve">Figure 7.5 </w:t>
      </w:r>
      <w:r>
        <w:rPr>
          <w:rFonts w:hint="default"/>
          <w:i/>
          <w:iCs/>
          <w:color w:val="5A5A5A"/>
          <w:sz w:val="18"/>
          <w:szCs w:val="18"/>
          <w:lang w:val="en-US"/>
        </w:rPr>
        <w:t>-</w:t>
      </w:r>
      <w:r>
        <w:rPr>
          <w:i/>
          <w:iCs/>
          <w:color w:val="5A5A5A"/>
          <w:sz w:val="18"/>
          <w:szCs w:val="18"/>
        </w:rPr>
        <w:t xml:space="preserve"> Cross-VLAN reachability verified: HR_PC1 successfully pings the Servers VLAN (192.168.50.2) through inter-VLAN routing.</w:t>
      </w:r>
    </w:p>
    <w:p w14:paraId="71E5B63D">
      <w:r>
        <w:br w:type="page"/>
      </w:r>
    </w:p>
    <w:p w14:paraId="0DCE1ED7">
      <w:pPr>
        <w:pStyle w:val="2"/>
        <w:pBdr>
          <w:bottom w:val="single" w:color="1A1A1A" w:sz="8" w:space="0"/>
        </w:pBdr>
        <w:spacing w:before="360" w:after="160"/>
      </w:pPr>
      <w:r>
        <w:rPr>
          <w:b/>
          <w:bCs/>
          <w:color w:val="1A1A1A"/>
          <w:sz w:val="30"/>
          <w:szCs w:val="30"/>
        </w:rPr>
        <w:t>8. Layer 2 Redundancy &amp; High Availability (Phase 6)</w:t>
      </w:r>
    </w:p>
    <w:p w14:paraId="6D573A48">
      <w:pPr>
        <w:spacing w:after="160" w:line="276" w:lineRule="auto"/>
      </w:pPr>
      <w:r>
        <w:rPr>
          <w:color w:val="222222"/>
          <w:sz w:val="22"/>
          <w:szCs w:val="22"/>
        </w:rPr>
        <w:t>To eliminate single points of failure and increase inter-switch bandwidth, Layer 2 high availability protocols were implemented across the distribution tier.</w:t>
      </w:r>
    </w:p>
    <w:p w14:paraId="47F78003">
      <w:pPr>
        <w:pStyle w:val="16"/>
        <w:numPr>
          <w:ilvl w:val="0"/>
          <w:numId w:val="1"/>
        </w:numPr>
        <w:spacing w:after="100"/>
      </w:pPr>
      <w:r>
        <w:rPr>
          <w:b/>
          <w:bCs/>
          <w:color w:val="1A1A1A"/>
          <w:sz w:val="22"/>
          <w:szCs w:val="22"/>
        </w:rPr>
        <w:t xml:space="preserve">Link Aggregation (EtherChannel): </w:t>
      </w:r>
      <w:r>
        <w:rPr>
          <w:color w:val="222222"/>
          <w:sz w:val="22"/>
          <w:szCs w:val="22"/>
        </w:rPr>
        <w:t>The redundant parallel links (Fa0/2 and Fa0/3) between Dist_SW1 and Dist_SW2 were bundled into a single logical Port-Channel using the Link Aggregation Control Protocol (LACP).</w:t>
      </w:r>
    </w:p>
    <w:p w14:paraId="7F679020">
      <w:pPr>
        <w:pStyle w:val="16"/>
        <w:numPr>
          <w:ilvl w:val="0"/>
          <w:numId w:val="1"/>
        </w:numPr>
        <w:spacing w:after="100"/>
      </w:pPr>
      <w:r>
        <w:rPr>
          <w:b/>
          <w:bCs/>
          <w:color w:val="1A1A1A"/>
          <w:sz w:val="22"/>
          <w:szCs w:val="22"/>
        </w:rPr>
        <w:t xml:space="preserve">Logical Trunking: </w:t>
      </w:r>
      <w:r>
        <w:rPr>
          <w:color w:val="222222"/>
          <w:sz w:val="22"/>
          <w:szCs w:val="22"/>
        </w:rPr>
        <w:t>The resulting Port-channel 1 interface was successfully initialized and configured as an 802.1Q trunk. This allows the Spanning Tree Protocol (STP) to treat the physical bundle as a single logical interface, preventing unnecessary port blocking between the distribution switches while doubling the available bandwidth.</w:t>
      </w:r>
    </w:p>
    <w:p w14:paraId="4A77FC9E">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638675" cy="3681095"/>
            <wp:effectExtent l="0" t="0" r="952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4638675" cy="3681095"/>
                    </a:xfrm>
                    <a:prstGeom prst="rect">
                      <a:avLst/>
                    </a:prstGeom>
                  </pic:spPr>
                </pic:pic>
              </a:graphicData>
            </a:graphic>
          </wp:inline>
        </w:drawing>
      </w:r>
    </w:p>
    <w:p w14:paraId="49400392">
      <w:pPr>
        <w:spacing w:after="240"/>
        <w:jc w:val="center"/>
      </w:pPr>
      <w:r>
        <w:rPr>
          <w:i/>
          <w:iCs/>
          <w:color w:val="5A5A5A"/>
          <w:sz w:val="18"/>
          <w:szCs w:val="18"/>
        </w:rPr>
        <w:t xml:space="preserve">Figure 8.1 </w:t>
      </w:r>
      <w:r>
        <w:rPr>
          <w:rFonts w:hint="default"/>
          <w:i/>
          <w:iCs/>
          <w:color w:val="5A5A5A"/>
          <w:sz w:val="18"/>
          <w:szCs w:val="18"/>
          <w:lang w:val="en-US"/>
        </w:rPr>
        <w:t>-</w:t>
      </w:r>
      <w:r>
        <w:rPr>
          <w:i/>
          <w:iCs/>
          <w:color w:val="5A5A5A"/>
          <w:sz w:val="18"/>
          <w:szCs w:val="18"/>
        </w:rPr>
        <w:t xml:space="preserve"> Dist_SW2 LACP EtherChannel (channel-group 1 mode active) bundling Fa0/2–3 into Port-channel 1, configured as an 802.1Q trunk.</w:t>
      </w:r>
    </w:p>
    <w:p w14:paraId="75B0BF19">
      <w:pPr>
        <w:pStyle w:val="2"/>
        <w:pBdr>
          <w:bottom w:val="single" w:color="1A1A1A" w:sz="8" w:space="0"/>
        </w:pBdr>
        <w:spacing w:before="360" w:after="160"/>
      </w:pPr>
      <w:r>
        <w:rPr>
          <w:b/>
          <w:bCs/>
          <w:color w:val="1A1A1A"/>
          <w:sz w:val="30"/>
          <w:szCs w:val="30"/>
        </w:rPr>
        <w:t>9. Dynamic Routing &amp; Core Connectivity (Phase 7)</w:t>
      </w:r>
    </w:p>
    <w:p w14:paraId="627CE366">
      <w:pPr>
        <w:spacing w:after="160" w:line="276" w:lineRule="auto"/>
      </w:pPr>
      <w:r>
        <w:rPr>
          <w:color w:val="222222"/>
          <w:sz w:val="22"/>
          <w:szCs w:val="22"/>
        </w:rPr>
        <w:t>To ensure dynamic reachability across the enterprise and facilitate automated failover, Single-Area OSPF (Process ID 1) was deployed across the core routing tier.</w:t>
      </w:r>
    </w:p>
    <w:p w14:paraId="4657BCE6">
      <w:pPr>
        <w:pStyle w:val="16"/>
        <w:numPr>
          <w:ilvl w:val="0"/>
          <w:numId w:val="1"/>
        </w:numPr>
        <w:spacing w:after="100"/>
      </w:pPr>
      <w:r>
        <w:rPr>
          <w:b/>
          <w:bCs/>
          <w:color w:val="1A1A1A"/>
          <w:sz w:val="22"/>
          <w:szCs w:val="22"/>
        </w:rPr>
        <w:t xml:space="preserve">Point-to-Point WAN Links: </w:t>
      </w:r>
      <w:r>
        <w:rPr>
          <w:color w:val="222222"/>
          <w:sz w:val="22"/>
          <w:szCs w:val="22"/>
        </w:rPr>
        <w:t>Dedicated /30 subnets (10.0.0.0/30, 10.0.0.4/30, 10.0.0.8/30) were configured between the Edge Routers and the ISP Router to conserve IPv4 space while establishing strict routed boundaries.</w:t>
      </w:r>
    </w:p>
    <w:p w14:paraId="45B29E81">
      <w:pPr>
        <w:pStyle w:val="16"/>
        <w:numPr>
          <w:ilvl w:val="0"/>
          <w:numId w:val="1"/>
        </w:numPr>
        <w:spacing w:after="100"/>
      </w:pPr>
      <w:r>
        <w:rPr>
          <w:b/>
          <w:bCs/>
          <w:color w:val="1A1A1A"/>
          <w:sz w:val="22"/>
          <w:szCs w:val="22"/>
        </w:rPr>
        <w:t xml:space="preserve">OSPF Adjacencies: </w:t>
      </w:r>
      <w:r>
        <w:rPr>
          <w:color w:val="222222"/>
          <w:sz w:val="22"/>
          <w:szCs w:val="22"/>
        </w:rPr>
        <w:t>The network statements were utilized to advertise both the point-to-point transit links and the internal VLSM departmental subnets into OSPF Area 0.</w:t>
      </w:r>
    </w:p>
    <w:p w14:paraId="709D1066">
      <w:pPr>
        <w:pStyle w:val="16"/>
        <w:numPr>
          <w:ilvl w:val="0"/>
          <w:numId w:val="1"/>
        </w:numPr>
        <w:spacing w:after="100"/>
      </w:pPr>
      <w:r>
        <w:rPr>
          <w:b/>
          <w:bCs/>
          <w:color w:val="1A1A1A"/>
          <w:sz w:val="22"/>
          <w:szCs w:val="22"/>
        </w:rPr>
        <w:t xml:space="preserve">Default Route Injection: </w:t>
      </w:r>
      <w:r>
        <w:rPr>
          <w:color w:val="222222"/>
          <w:sz w:val="22"/>
          <w:szCs w:val="22"/>
        </w:rPr>
        <w:t>The ISP Router was configured with default-information originate always to dynamically propagate a simulated default internet gateway down to the enterprise edge routers.</w:t>
      </w:r>
    </w:p>
    <w:p w14:paraId="39F67A2E">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191000" cy="3381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4191000" cy="3381375"/>
                    </a:xfrm>
                    <a:prstGeom prst="rect">
                      <a:avLst/>
                    </a:prstGeom>
                  </pic:spPr>
                </pic:pic>
              </a:graphicData>
            </a:graphic>
          </wp:inline>
        </w:drawing>
      </w:r>
    </w:p>
    <w:p w14:paraId="5EA98047">
      <w:pPr>
        <w:spacing w:after="240"/>
        <w:jc w:val="center"/>
      </w:pPr>
      <w:r>
        <w:rPr>
          <w:i/>
          <w:iCs/>
          <w:color w:val="5A5A5A"/>
          <w:sz w:val="18"/>
          <w:szCs w:val="18"/>
        </w:rPr>
        <w:t xml:space="preserve">Figure 9.1 </w:t>
      </w:r>
      <w:r>
        <w:rPr>
          <w:rFonts w:hint="default"/>
          <w:i/>
          <w:iCs/>
          <w:color w:val="5A5A5A"/>
          <w:sz w:val="18"/>
          <w:szCs w:val="18"/>
          <w:lang w:val="en-US"/>
        </w:rPr>
        <w:t>-</w:t>
      </w:r>
      <w:r>
        <w:rPr>
          <w:i/>
          <w:iCs/>
          <w:color w:val="5A5A5A"/>
          <w:sz w:val="18"/>
          <w:szCs w:val="18"/>
        </w:rPr>
        <w:t xml:space="preserve"> Edge_R1 OSPF process 1: WAN transit links and all six VLSM VLAN subnets advertised into Area 0.</w:t>
      </w:r>
    </w:p>
    <w:p w14:paraId="3C64090B">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2847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4381500" cy="2847975"/>
                    </a:xfrm>
                    <a:prstGeom prst="rect">
                      <a:avLst/>
                    </a:prstGeom>
                  </pic:spPr>
                </pic:pic>
              </a:graphicData>
            </a:graphic>
          </wp:inline>
        </w:drawing>
      </w:r>
    </w:p>
    <w:p w14:paraId="40676543">
      <w:pPr>
        <w:spacing w:after="240"/>
        <w:jc w:val="center"/>
      </w:pPr>
      <w:r>
        <w:rPr>
          <w:i/>
          <w:iCs/>
          <w:color w:val="5A5A5A"/>
          <w:sz w:val="18"/>
          <w:szCs w:val="18"/>
        </w:rPr>
        <w:t xml:space="preserve">Figure 9.2 </w:t>
      </w:r>
      <w:r>
        <w:rPr>
          <w:rFonts w:hint="default"/>
          <w:i/>
          <w:iCs/>
          <w:color w:val="5A5A5A"/>
          <w:sz w:val="18"/>
          <w:szCs w:val="18"/>
          <w:lang w:val="en-US"/>
        </w:rPr>
        <w:t>-</w:t>
      </w:r>
      <w:r>
        <w:rPr>
          <w:i/>
          <w:iCs/>
          <w:color w:val="5A5A5A"/>
          <w:sz w:val="18"/>
          <w:szCs w:val="18"/>
        </w:rPr>
        <w:t xml:space="preserve"> Edge_R2 OSPF process 1: transit links to ISP_Router and Edge_R1 advertised into Area 0.</w:t>
      </w:r>
    </w:p>
    <w:p w14:paraId="7583416C">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6026785" cy="3515360"/>
            <wp:effectExtent l="0" t="0" r="571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6026785" cy="3515360"/>
                    </a:xfrm>
                    <a:prstGeom prst="rect">
                      <a:avLst/>
                    </a:prstGeom>
                  </pic:spPr>
                </pic:pic>
              </a:graphicData>
            </a:graphic>
          </wp:inline>
        </w:drawing>
      </w:r>
    </w:p>
    <w:p w14:paraId="2056F43D">
      <w:pPr>
        <w:spacing w:after="240"/>
        <w:jc w:val="center"/>
      </w:pPr>
      <w:r>
        <w:rPr>
          <w:i/>
          <w:iCs/>
          <w:color w:val="5A5A5A"/>
          <w:sz w:val="18"/>
          <w:szCs w:val="18"/>
        </w:rPr>
        <w:t xml:space="preserve">Figure 9.3 </w:t>
      </w:r>
      <w:r>
        <w:rPr>
          <w:rFonts w:hint="default"/>
          <w:i/>
          <w:iCs/>
          <w:color w:val="5A5A5A"/>
          <w:sz w:val="18"/>
          <w:szCs w:val="18"/>
          <w:lang w:val="en-US"/>
        </w:rPr>
        <w:t>-</w:t>
      </w:r>
      <w:r>
        <w:rPr>
          <w:i/>
          <w:iCs/>
          <w:color w:val="5A5A5A"/>
          <w:sz w:val="18"/>
          <w:szCs w:val="18"/>
        </w:rPr>
        <w:t xml:space="preserve"> ISP_Router OSPF configuration and formed adjacencies; the always keyword on default-information originate returns “Invalid input” (a known Packet Tracer IOS limitation), but the neighbor log confirms adjacencies reached FULL.</w:t>
      </w:r>
    </w:p>
    <w:tbl>
      <w:tblPr>
        <w:tblStyle w:val="9"/>
        <w:tblW w:w="4814" w:type="pct"/>
        <w:tblInd w:w="179" w:type="dxa"/>
        <w:tblBorders>
          <w:top w:val="single" w:color="1A1A1A" w:sz="4" w:space="0"/>
          <w:left w:val="single" w:color="1A1A1A" w:sz="4" w:space="0"/>
          <w:bottom w:val="single" w:color="1A1A1A" w:sz="4" w:space="0"/>
          <w:right w:val="single" w:color="1A1A1A" w:sz="4" w:space="0"/>
          <w:insideH w:val="single" w:color="auto" w:sz="4" w:space="0"/>
          <w:insideV w:val="single" w:color="auto" w:sz="4" w:space="0"/>
        </w:tblBorders>
        <w:tblLayout w:type="autofit"/>
        <w:tblCellMar>
          <w:top w:w="0" w:type="dxa"/>
          <w:left w:w="10" w:type="dxa"/>
          <w:bottom w:w="0" w:type="dxa"/>
          <w:right w:w="10" w:type="dxa"/>
        </w:tblCellMar>
      </w:tblPr>
      <w:tblGrid>
        <w:gridCol w:w="9869"/>
      </w:tblGrid>
      <w:tr w14:paraId="60F5E57C">
        <w:tblPrEx>
          <w:tblBorders>
            <w:top w:val="single" w:color="1A1A1A" w:sz="4" w:space="0"/>
            <w:left w:val="single" w:color="1A1A1A" w:sz="4" w:space="0"/>
            <w:bottom w:val="single" w:color="1A1A1A" w:sz="4" w:space="0"/>
            <w:right w:val="single" w:color="1A1A1A"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0F0F0"/>
            <w:tcMar>
              <w:top w:w="160" w:type="dxa"/>
              <w:left w:w="200" w:type="dxa"/>
              <w:bottom w:w="160" w:type="dxa"/>
              <w:right w:w="200" w:type="dxa"/>
            </w:tcMar>
          </w:tcPr>
          <w:p w14:paraId="1755AE97">
            <w:r>
              <w:rPr>
                <w:b/>
                <w:bCs/>
                <w:color w:val="1A1A1A"/>
                <w:sz w:val="20"/>
                <w:szCs w:val="20"/>
              </w:rPr>
              <w:t xml:space="preserve">Verification Note:  </w:t>
            </w:r>
            <w:r>
              <w:rPr>
                <w:i/>
                <w:iCs/>
                <w:color w:val="333333"/>
                <w:sz w:val="20"/>
                <w:szCs w:val="20"/>
              </w:rPr>
              <w:t xml:space="preserve">The “Invalid input detected” error on the always keyword is a known Cisco Packet Tracer limitation with certain IOS versions </w:t>
            </w:r>
            <w:r>
              <w:rPr>
                <w:rFonts w:hint="default"/>
                <w:i/>
                <w:iCs/>
                <w:color w:val="333333"/>
                <w:sz w:val="20"/>
                <w:szCs w:val="20"/>
                <w:lang w:val="en-US"/>
              </w:rPr>
              <w:t>-</w:t>
            </w:r>
            <w:r>
              <w:rPr>
                <w:i/>
                <w:iCs/>
                <w:color w:val="333333"/>
                <w:sz w:val="20"/>
                <w:szCs w:val="20"/>
              </w:rPr>
              <w:t xml:space="preserve"> it requires a static default route to exist before it accepts the command. The console logs confirm the OSPF adjacencies transitioned from LOADING to FULL, so core dynamic routing is fully operational.</w:t>
            </w:r>
          </w:p>
        </w:tc>
      </w:tr>
    </w:tbl>
    <w:p w14:paraId="55C0443A">
      <w:pPr>
        <w:spacing w:before="200"/>
      </w:pPr>
    </w:p>
    <w:p w14:paraId="34A78B0E">
      <w:r>
        <w:br w:type="page"/>
      </w:r>
    </w:p>
    <w:p w14:paraId="5AE69266">
      <w:pPr>
        <w:pStyle w:val="2"/>
        <w:pBdr>
          <w:bottom w:val="single" w:color="1A1A1A" w:sz="8" w:space="0"/>
        </w:pBdr>
        <w:spacing w:before="360" w:after="160"/>
      </w:pPr>
      <w:r>
        <w:rPr>
          <w:b/>
          <w:bCs/>
          <w:color w:val="1A1A1A"/>
          <w:sz w:val="30"/>
          <w:szCs w:val="30"/>
        </w:rPr>
        <w:t xml:space="preserve">10. High Availability </w:t>
      </w:r>
      <w:r>
        <w:rPr>
          <w:rFonts w:hint="default"/>
          <w:b/>
          <w:bCs/>
          <w:color w:val="1A1A1A"/>
          <w:sz w:val="30"/>
          <w:szCs w:val="30"/>
          <w:lang w:val="en-US"/>
        </w:rPr>
        <w:t>-</w:t>
      </w:r>
      <w:r>
        <w:rPr>
          <w:b/>
          <w:bCs/>
          <w:color w:val="1A1A1A"/>
          <w:sz w:val="30"/>
          <w:szCs w:val="30"/>
        </w:rPr>
        <w:t xml:space="preserve"> HSRP Gateway Redundancy (Phase 8)</w:t>
      </w:r>
    </w:p>
    <w:p w14:paraId="2065E699">
      <w:pPr>
        <w:spacing w:after="160" w:line="276" w:lineRule="auto"/>
      </w:pPr>
      <w:r>
        <w:rPr>
          <w:color w:val="222222"/>
          <w:sz w:val="22"/>
          <w:szCs w:val="22"/>
        </w:rPr>
        <w:t>To protect endpoints from edge router failures, the Hot Standby Router Protocol (HSRP) was implemented on the HR VLAN.</w:t>
      </w:r>
    </w:p>
    <w:p w14:paraId="58507CC3">
      <w:pPr>
        <w:pStyle w:val="16"/>
        <w:numPr>
          <w:ilvl w:val="0"/>
          <w:numId w:val="1"/>
        </w:numPr>
        <w:spacing w:after="100"/>
      </w:pPr>
      <w:r>
        <w:rPr>
          <w:b/>
          <w:bCs/>
          <w:color w:val="1A1A1A"/>
          <w:sz w:val="22"/>
          <w:szCs w:val="22"/>
        </w:rPr>
        <w:t xml:space="preserve">Virtual Gateway: </w:t>
      </w:r>
      <w:r>
        <w:rPr>
          <w:color w:val="222222"/>
          <w:sz w:val="22"/>
          <w:szCs w:val="22"/>
        </w:rPr>
        <w:t>A virtual IP address (192.168.10.1) was established across both edge routers to serve as the highly available default gateway for the HR department.</w:t>
      </w:r>
    </w:p>
    <w:p w14:paraId="2C092B85">
      <w:pPr>
        <w:pStyle w:val="16"/>
        <w:numPr>
          <w:ilvl w:val="0"/>
          <w:numId w:val="1"/>
        </w:numPr>
        <w:spacing w:after="100"/>
      </w:pPr>
      <w:r>
        <w:rPr>
          <w:b/>
          <w:bCs/>
          <w:color w:val="1A1A1A"/>
          <w:sz w:val="22"/>
          <w:szCs w:val="22"/>
        </w:rPr>
        <w:t xml:space="preserve">Active/Standby Roles: </w:t>
      </w:r>
      <w:r>
        <w:rPr>
          <w:color w:val="222222"/>
          <w:sz w:val="22"/>
          <w:szCs w:val="22"/>
        </w:rPr>
        <w:t>Edge_R1 was configured with a priority of 110 and preemption enabled, forcing it to act as the primary Active router. Edge_R2 was configured as the Standby backup router, ready to instantly assume the virtual IP if Edge_R1 fails.</w:t>
      </w:r>
    </w:p>
    <w:p w14:paraId="014D9FE1">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590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4381500" cy="1590675"/>
                    </a:xfrm>
                    <a:prstGeom prst="rect">
                      <a:avLst/>
                    </a:prstGeom>
                  </pic:spPr>
                </pic:pic>
              </a:graphicData>
            </a:graphic>
          </wp:inline>
        </w:drawing>
      </w:r>
    </w:p>
    <w:p w14:paraId="5ECC09A1">
      <w:pPr>
        <w:spacing w:after="240"/>
        <w:jc w:val="center"/>
      </w:pPr>
      <w:r>
        <w:rPr>
          <w:i/>
          <w:iCs/>
          <w:color w:val="5A5A5A"/>
          <w:sz w:val="18"/>
          <w:szCs w:val="18"/>
        </w:rPr>
        <w:t xml:space="preserve">Figure 10.1 </w:t>
      </w:r>
      <w:r>
        <w:rPr>
          <w:rFonts w:hint="default"/>
          <w:i/>
          <w:iCs/>
          <w:color w:val="5A5A5A"/>
          <w:sz w:val="18"/>
          <w:szCs w:val="18"/>
          <w:lang w:val="en-US"/>
        </w:rPr>
        <w:t>-</w:t>
      </w:r>
      <w:r>
        <w:rPr>
          <w:i/>
          <w:iCs/>
          <w:color w:val="5A5A5A"/>
          <w:sz w:val="18"/>
          <w:szCs w:val="18"/>
        </w:rPr>
        <w:t xml:space="preserve"> Edge_R1 HSRP Group 10: priority 110 and preempt enabled (Active role).</w:t>
      </w:r>
    </w:p>
    <w:p w14:paraId="7A5E7654">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7881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4381500" cy="1788160"/>
                    </a:xfrm>
                    <a:prstGeom prst="rect">
                      <a:avLst/>
                    </a:prstGeom>
                  </pic:spPr>
                </pic:pic>
              </a:graphicData>
            </a:graphic>
          </wp:inline>
        </w:drawing>
      </w:r>
    </w:p>
    <w:p w14:paraId="7C31E9F3">
      <w:pPr>
        <w:spacing w:after="240"/>
        <w:jc w:val="center"/>
      </w:pPr>
      <w:r>
        <w:rPr>
          <w:i/>
          <w:iCs/>
          <w:color w:val="5A5A5A"/>
          <w:sz w:val="18"/>
          <w:szCs w:val="18"/>
        </w:rPr>
        <w:t xml:space="preserve">Figure 10.2 </w:t>
      </w:r>
      <w:r>
        <w:rPr>
          <w:rFonts w:hint="default"/>
          <w:i/>
          <w:iCs/>
          <w:color w:val="5A5A5A"/>
          <w:sz w:val="18"/>
          <w:szCs w:val="18"/>
          <w:lang w:val="en-US"/>
        </w:rPr>
        <w:t>-</w:t>
      </w:r>
      <w:r>
        <w:rPr>
          <w:i/>
          <w:iCs/>
          <w:color w:val="5A5A5A"/>
          <w:sz w:val="18"/>
          <w:szCs w:val="18"/>
        </w:rPr>
        <w:t xml:space="preserve"> Edge_R2 HSRP Group 10 configured as the Standby backup router.</w:t>
      </w:r>
    </w:p>
    <w:p w14:paraId="6C6EC89C">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4897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4381500" cy="1489710"/>
                    </a:xfrm>
                    <a:prstGeom prst="rect">
                      <a:avLst/>
                    </a:prstGeom>
                  </pic:spPr>
                </pic:pic>
              </a:graphicData>
            </a:graphic>
          </wp:inline>
        </w:drawing>
      </w:r>
    </w:p>
    <w:p w14:paraId="3D4A4B4D">
      <w:pPr>
        <w:spacing w:after="240"/>
        <w:jc w:val="center"/>
      </w:pPr>
      <w:r>
        <w:rPr>
          <w:i/>
          <w:iCs/>
          <w:color w:val="5A5A5A"/>
          <w:sz w:val="18"/>
          <w:szCs w:val="18"/>
        </w:rPr>
        <w:t xml:space="preserve">Figure 10.3 </w:t>
      </w:r>
      <w:r>
        <w:rPr>
          <w:rFonts w:hint="default"/>
          <w:i/>
          <w:iCs/>
          <w:color w:val="5A5A5A"/>
          <w:sz w:val="18"/>
          <w:szCs w:val="18"/>
          <w:lang w:val="en-US"/>
        </w:rPr>
        <w:t>-</w:t>
      </w:r>
      <w:r>
        <w:rPr>
          <w:i/>
          <w:iCs/>
          <w:color w:val="5A5A5A"/>
          <w:sz w:val="18"/>
          <w:szCs w:val="18"/>
        </w:rPr>
        <w:t xml:space="preserve"> Edge_R1 OSPF neighbor table confirming FULL adjacencies after the HSRP state change.</w:t>
      </w:r>
    </w:p>
    <w:p w14:paraId="6CF8A9EC">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885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4381500" cy="1885950"/>
                    </a:xfrm>
                    <a:prstGeom prst="rect">
                      <a:avLst/>
                    </a:prstGeom>
                  </pic:spPr>
                </pic:pic>
              </a:graphicData>
            </a:graphic>
          </wp:inline>
        </w:drawing>
      </w:r>
    </w:p>
    <w:p w14:paraId="45CBD325">
      <w:pPr>
        <w:spacing w:after="240"/>
        <w:jc w:val="center"/>
      </w:pPr>
      <w:r>
        <w:rPr>
          <w:i/>
          <w:iCs/>
          <w:color w:val="5A5A5A"/>
          <w:sz w:val="18"/>
          <w:szCs w:val="18"/>
        </w:rPr>
        <w:t xml:space="preserve">Figure 10.4 </w:t>
      </w:r>
      <w:r>
        <w:rPr>
          <w:rFonts w:hint="default"/>
          <w:i/>
          <w:iCs/>
          <w:color w:val="5A5A5A"/>
          <w:sz w:val="18"/>
          <w:szCs w:val="18"/>
          <w:lang w:val="en-US"/>
        </w:rPr>
        <w:t>-</w:t>
      </w:r>
      <w:r>
        <w:rPr>
          <w:i/>
          <w:iCs/>
          <w:color w:val="5A5A5A"/>
          <w:sz w:val="18"/>
          <w:szCs w:val="18"/>
        </w:rPr>
        <w:t xml:space="preserve"> Edge_R1 show standby output: Group 10 State Active, virtual IP 192.168.10.1, priority 110, standby router 192.168.10.3.</w:t>
      </w:r>
    </w:p>
    <w:p w14:paraId="1622E4A9">
      <w:pPr>
        <w:pStyle w:val="2"/>
        <w:pBdr>
          <w:bottom w:val="single" w:color="1A1A1A" w:sz="8" w:space="0"/>
        </w:pBdr>
        <w:spacing w:before="360" w:after="160"/>
      </w:pPr>
      <w:r>
        <w:rPr>
          <w:b/>
          <w:bCs/>
          <w:color w:val="1A1A1A"/>
          <w:sz w:val="30"/>
          <w:szCs w:val="30"/>
        </w:rPr>
        <w:t>11. Infrastructure Services — DHCP &amp; Edge PAT (Phase 8)</w:t>
      </w:r>
    </w:p>
    <w:p w14:paraId="437676FE">
      <w:pPr>
        <w:spacing w:after="160" w:line="276" w:lineRule="auto"/>
      </w:pPr>
      <w:r>
        <w:rPr>
          <w:color w:val="222222"/>
          <w:sz w:val="22"/>
          <w:szCs w:val="22"/>
        </w:rPr>
        <w:t>To streamline endpoint deployment and conserve public IPv4 resources, automated infrastructure services and edge address translation were successfully integrated.</w:t>
      </w:r>
    </w:p>
    <w:p w14:paraId="48762B32">
      <w:pPr>
        <w:pStyle w:val="16"/>
        <w:numPr>
          <w:ilvl w:val="0"/>
          <w:numId w:val="1"/>
        </w:numPr>
        <w:spacing w:after="100"/>
      </w:pPr>
      <w:r>
        <w:rPr>
          <w:b/>
          <w:bCs/>
          <w:color w:val="1A1A1A"/>
          <w:sz w:val="22"/>
          <w:szCs w:val="22"/>
        </w:rPr>
        <w:t xml:space="preserve">Stateful DHCP Allocation: </w:t>
      </w:r>
      <w:r>
        <w:rPr>
          <w:color w:val="222222"/>
          <w:sz w:val="22"/>
          <w:szCs w:val="22"/>
        </w:rPr>
        <w:t>Edge_R1 was configured as the native DHCP server for VLAN 20 (IT), utilizing an excluded address block (.1 to .10) for static gatekeeping while dynamically issuing leases to departmental endpoints.</w:t>
      </w:r>
    </w:p>
    <w:p w14:paraId="671BE281">
      <w:pPr>
        <w:pStyle w:val="16"/>
        <w:numPr>
          <w:ilvl w:val="0"/>
          <w:numId w:val="1"/>
        </w:numPr>
        <w:spacing w:after="100"/>
      </w:pPr>
      <w:r>
        <w:rPr>
          <w:b/>
          <w:bCs/>
          <w:color w:val="1A1A1A"/>
          <w:sz w:val="22"/>
          <w:szCs w:val="22"/>
        </w:rPr>
        <w:t xml:space="preserve">Port Address Translation (PAT): </w:t>
      </w:r>
      <w:r>
        <w:rPr>
          <w:color w:val="222222"/>
          <w:sz w:val="22"/>
          <w:szCs w:val="22"/>
        </w:rPr>
        <w:t>An internal access control list combined with ip nat inside source list … interface gig0/0 overload to translate private internal addressing out to the public transit WAN.</w:t>
      </w:r>
    </w:p>
    <w:p w14:paraId="471A8EEB">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5261610" cy="3627120"/>
            <wp:effectExtent l="0" t="0" r="889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5261610" cy="3627120"/>
                    </a:xfrm>
                    <a:prstGeom prst="rect">
                      <a:avLst/>
                    </a:prstGeom>
                  </pic:spPr>
                </pic:pic>
              </a:graphicData>
            </a:graphic>
          </wp:inline>
        </w:drawing>
      </w:r>
    </w:p>
    <w:p w14:paraId="129EEA3E">
      <w:pPr>
        <w:spacing w:after="240"/>
        <w:jc w:val="center"/>
      </w:pPr>
      <w:r>
        <w:rPr>
          <w:i/>
          <w:iCs/>
          <w:color w:val="5A5A5A"/>
          <w:sz w:val="18"/>
          <w:szCs w:val="18"/>
        </w:rPr>
        <w:t xml:space="preserve">Figure 11.1 </w:t>
      </w:r>
      <w:r>
        <w:rPr>
          <w:rFonts w:hint="default"/>
          <w:i/>
          <w:iCs/>
          <w:color w:val="5A5A5A"/>
          <w:sz w:val="18"/>
          <w:szCs w:val="18"/>
          <w:lang w:val="en-US"/>
        </w:rPr>
        <w:t>-</w:t>
      </w:r>
      <w:r>
        <w:rPr>
          <w:i/>
          <w:iCs/>
          <w:color w:val="5A5A5A"/>
          <w:sz w:val="18"/>
          <w:szCs w:val="18"/>
        </w:rPr>
        <w:t xml:space="preserve"> Edge_R1 DHCP pool (IT_POOL), NAT inside/outside interface assignment, and PAT overload rule mapping VLAN 20 to the WAN interface; followed by the resulting HSRP and OSPF adjacency log.</w:t>
      </w:r>
    </w:p>
    <w:p w14:paraId="12EAB8FD">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0001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3"/>
                    <a:srcRect/>
                    <a:stretch>
                      <a:fillRect/>
                    </a:stretch>
                  </pic:blipFill>
                  <pic:spPr>
                    <a:xfrm>
                      <a:off x="0" y="0"/>
                      <a:ext cx="4381500" cy="1000125"/>
                    </a:xfrm>
                    <a:prstGeom prst="rect">
                      <a:avLst/>
                    </a:prstGeom>
                  </pic:spPr>
                </pic:pic>
              </a:graphicData>
            </a:graphic>
          </wp:inline>
        </w:drawing>
      </w:r>
    </w:p>
    <w:p w14:paraId="78BBF1AE">
      <w:pPr>
        <w:spacing w:after="240"/>
        <w:jc w:val="center"/>
      </w:pPr>
      <w:r>
        <w:rPr>
          <w:i/>
          <w:iCs/>
          <w:color w:val="5A5A5A"/>
          <w:sz w:val="18"/>
          <w:szCs w:val="18"/>
        </w:rPr>
        <w:t xml:space="preserve">Figure 11.2 </w:t>
      </w:r>
      <w:r>
        <w:rPr>
          <w:rFonts w:hint="default"/>
          <w:i/>
          <w:iCs/>
          <w:color w:val="5A5A5A"/>
          <w:sz w:val="18"/>
          <w:szCs w:val="18"/>
          <w:lang w:val="en-US"/>
        </w:rPr>
        <w:t>-</w:t>
      </w:r>
      <w:r>
        <w:rPr>
          <w:i/>
          <w:iCs/>
          <w:color w:val="5A5A5A"/>
          <w:sz w:val="18"/>
          <w:szCs w:val="18"/>
        </w:rPr>
        <w:t xml:space="preserve"> ip helper-address 192.168.20.1 applied on Gig0/2.20 to relay DHCP requests to the pool.</w:t>
      </w:r>
    </w:p>
    <w:p w14:paraId="40B9A4AF">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0382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4"/>
                    <a:srcRect/>
                    <a:stretch>
                      <a:fillRect/>
                    </a:stretch>
                  </pic:blipFill>
                  <pic:spPr>
                    <a:xfrm>
                      <a:off x="0" y="0"/>
                      <a:ext cx="4381500" cy="1038225"/>
                    </a:xfrm>
                    <a:prstGeom prst="rect">
                      <a:avLst/>
                    </a:prstGeom>
                  </pic:spPr>
                </pic:pic>
              </a:graphicData>
            </a:graphic>
          </wp:inline>
        </w:drawing>
      </w:r>
    </w:p>
    <w:p w14:paraId="13B9DB70">
      <w:pPr>
        <w:spacing w:after="240"/>
        <w:jc w:val="center"/>
      </w:pPr>
      <w:r>
        <w:rPr>
          <w:i/>
          <w:iCs/>
          <w:color w:val="5A5A5A"/>
          <w:sz w:val="18"/>
          <w:szCs w:val="18"/>
        </w:rPr>
        <w:t xml:space="preserve">Figure 11.3 </w:t>
      </w:r>
      <w:r>
        <w:rPr>
          <w:rFonts w:hint="default"/>
          <w:i/>
          <w:iCs/>
          <w:color w:val="5A5A5A"/>
          <w:sz w:val="18"/>
          <w:szCs w:val="18"/>
          <w:lang w:val="en-US"/>
        </w:rPr>
        <w:t>-</w:t>
      </w:r>
      <w:r>
        <w:rPr>
          <w:i/>
          <w:iCs/>
          <w:color w:val="5A5A5A"/>
          <w:sz w:val="18"/>
          <w:szCs w:val="18"/>
        </w:rPr>
        <w:t xml:space="preserve"> IT_PC1 successfully leases 192.168.20.11/27 via DHCP (“DHCP request successful”).</w:t>
      </w:r>
    </w:p>
    <w:tbl>
      <w:tblPr>
        <w:tblStyle w:val="9"/>
        <w:tblW w:w="4837" w:type="pct"/>
        <w:tblInd w:w="167" w:type="dxa"/>
        <w:tblBorders>
          <w:top w:val="single" w:color="1A1A1A" w:sz="4" w:space="0"/>
          <w:left w:val="single" w:color="1A1A1A" w:sz="4" w:space="0"/>
          <w:bottom w:val="single" w:color="1A1A1A" w:sz="4" w:space="0"/>
          <w:right w:val="single" w:color="1A1A1A" w:sz="4" w:space="0"/>
          <w:insideH w:val="single" w:color="auto" w:sz="4" w:space="0"/>
          <w:insideV w:val="single" w:color="auto" w:sz="4" w:space="0"/>
        </w:tblBorders>
        <w:tblLayout w:type="autofit"/>
        <w:tblCellMar>
          <w:top w:w="0" w:type="dxa"/>
          <w:left w:w="10" w:type="dxa"/>
          <w:bottom w:w="0" w:type="dxa"/>
          <w:right w:w="10" w:type="dxa"/>
        </w:tblCellMar>
      </w:tblPr>
      <w:tblGrid>
        <w:gridCol w:w="9916"/>
      </w:tblGrid>
      <w:tr w14:paraId="23A4193E">
        <w:tblPrEx>
          <w:tblBorders>
            <w:top w:val="single" w:color="1A1A1A" w:sz="4" w:space="0"/>
            <w:left w:val="single" w:color="1A1A1A" w:sz="4" w:space="0"/>
            <w:bottom w:val="single" w:color="1A1A1A" w:sz="4" w:space="0"/>
            <w:right w:val="single" w:color="1A1A1A"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0F0F0"/>
            <w:tcMar>
              <w:top w:w="160" w:type="dxa"/>
              <w:left w:w="200" w:type="dxa"/>
              <w:bottom w:w="160" w:type="dxa"/>
              <w:right w:w="200" w:type="dxa"/>
            </w:tcMar>
          </w:tcPr>
          <w:p w14:paraId="13DBA209">
            <w:r>
              <w:rPr>
                <w:b/>
                <w:bCs/>
                <w:color w:val="1A1A1A"/>
                <w:sz w:val="20"/>
                <w:szCs w:val="20"/>
              </w:rPr>
              <w:t xml:space="preserve">Verification Note:  </w:t>
            </w:r>
            <w:r>
              <w:rPr>
                <w:i/>
                <w:iCs/>
                <w:color w:val="333333"/>
                <w:sz w:val="20"/>
                <w:szCs w:val="20"/>
              </w:rPr>
              <w:t>Destination host unreachable with 4 matches on the ACL counter is textbook proof that the Extended Access Control List is intercepting and dropping unauthorized guest traffic right at the edge gateway.</w:t>
            </w:r>
          </w:p>
        </w:tc>
      </w:tr>
    </w:tbl>
    <w:p w14:paraId="1FA7DB79">
      <w:pPr>
        <w:pStyle w:val="2"/>
        <w:pBdr>
          <w:bottom w:val="single" w:color="1A1A1A" w:sz="8" w:space="0"/>
        </w:pBdr>
        <w:spacing w:before="360" w:after="160"/>
      </w:pPr>
      <w:r>
        <w:rPr>
          <w:b/>
          <w:bCs/>
          <w:color w:val="1A1A1A"/>
          <w:sz w:val="30"/>
          <w:szCs w:val="30"/>
        </w:rPr>
        <w:t>12. Security Hardening &amp; Traffic Filtering (Phase 9)</w:t>
      </w:r>
    </w:p>
    <w:p w14:paraId="11024CA5">
      <w:pPr>
        <w:spacing w:after="160" w:line="276" w:lineRule="auto"/>
      </w:pPr>
      <w:r>
        <w:rPr>
          <w:color w:val="222222"/>
          <w:sz w:val="22"/>
          <w:szCs w:val="22"/>
        </w:rPr>
        <w:t>To enforce strict perimeter defense and adhere to the enterprise security policy, an Extended Access Control List (ACL 100) was deployed at the network edge.</w:t>
      </w:r>
    </w:p>
    <w:p w14:paraId="2479C42E">
      <w:pPr>
        <w:pStyle w:val="16"/>
        <w:numPr>
          <w:ilvl w:val="0"/>
          <w:numId w:val="1"/>
        </w:numPr>
        <w:spacing w:after="100"/>
      </w:pPr>
      <w:r>
        <w:rPr>
          <w:b/>
          <w:bCs/>
          <w:color w:val="1A1A1A"/>
          <w:sz w:val="22"/>
          <w:szCs w:val="22"/>
        </w:rPr>
        <w:t xml:space="preserve">Guest Isolation: </w:t>
      </w:r>
      <w:r>
        <w:rPr>
          <w:color w:val="222222"/>
          <w:sz w:val="22"/>
          <w:szCs w:val="22"/>
        </w:rPr>
        <w:t>Explicit deny statements were implemented to intercept all outbound traffic originating from the Guest subnet (VLAN 40) destined for internal corporate networks (HR, IT, Finance, and Servers).</w:t>
      </w:r>
    </w:p>
    <w:p w14:paraId="6E4E2B19">
      <w:pPr>
        <w:pStyle w:val="16"/>
        <w:numPr>
          <w:ilvl w:val="0"/>
          <w:numId w:val="1"/>
        </w:numPr>
        <w:spacing w:after="100"/>
      </w:pPr>
      <w:r>
        <w:rPr>
          <w:b/>
          <w:bCs/>
          <w:color w:val="1A1A1A"/>
          <w:sz w:val="22"/>
          <w:szCs w:val="22"/>
        </w:rPr>
        <w:t xml:space="preserve">Controlled Internet Access: </w:t>
      </w:r>
      <w:r>
        <w:rPr>
          <w:color w:val="222222"/>
          <w:sz w:val="22"/>
          <w:szCs w:val="22"/>
        </w:rPr>
        <w:t>A final permit ip … any rule ensures that guest users retain the ability to route traffic out to the WAN/Internet via NAT/PAT without compromising internal asset security.</w:t>
      </w:r>
    </w:p>
    <w:p w14:paraId="17E55ABB">
      <w:pPr>
        <w:pStyle w:val="16"/>
        <w:numPr>
          <w:ilvl w:val="0"/>
          <w:numId w:val="1"/>
        </w:numPr>
        <w:spacing w:after="100"/>
      </w:pPr>
      <w:r>
        <w:rPr>
          <w:b/>
          <w:bCs/>
          <w:color w:val="1A1A1A"/>
          <w:sz w:val="22"/>
          <w:szCs w:val="22"/>
        </w:rPr>
        <w:t xml:space="preserve">Verification: </w:t>
      </w:r>
      <w:r>
        <w:rPr>
          <w:color w:val="222222"/>
          <w:sz w:val="22"/>
          <w:szCs w:val="22"/>
        </w:rPr>
        <w:t>Runtime evaluation via show access-lists 100 confirmed active packet interception, registering matching drop counters when internal server pings were attempted.</w:t>
      </w:r>
    </w:p>
    <w:p w14:paraId="5F978F39">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2009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5"/>
                    <a:srcRect/>
                    <a:stretch>
                      <a:fillRect/>
                    </a:stretch>
                  </pic:blipFill>
                  <pic:spPr>
                    <a:xfrm>
                      <a:off x="0" y="0"/>
                      <a:ext cx="4381500" cy="2009775"/>
                    </a:xfrm>
                    <a:prstGeom prst="rect">
                      <a:avLst/>
                    </a:prstGeom>
                  </pic:spPr>
                </pic:pic>
              </a:graphicData>
            </a:graphic>
          </wp:inline>
        </w:drawing>
      </w:r>
    </w:p>
    <w:p w14:paraId="08DB1C96">
      <w:pPr>
        <w:spacing w:after="240"/>
        <w:jc w:val="center"/>
      </w:pPr>
      <w:r>
        <w:rPr>
          <w:i/>
          <w:iCs/>
          <w:color w:val="5A5A5A"/>
          <w:sz w:val="18"/>
          <w:szCs w:val="18"/>
        </w:rPr>
        <w:t xml:space="preserve">Figure 12.1 </w:t>
      </w:r>
      <w:r>
        <w:rPr>
          <w:rFonts w:hint="default"/>
          <w:i/>
          <w:iCs/>
          <w:color w:val="5A5A5A"/>
          <w:sz w:val="18"/>
          <w:szCs w:val="18"/>
          <w:lang w:val="en-US"/>
        </w:rPr>
        <w:t>-</w:t>
      </w:r>
      <w:r>
        <w:rPr>
          <w:i/>
          <w:iCs/>
          <w:color w:val="5A5A5A"/>
          <w:sz w:val="18"/>
          <w:szCs w:val="18"/>
        </w:rPr>
        <w:t xml:space="preserve"> Guest_PC static IP configuration (192.168.40.2/27, gateway 192.168.40.1).</w:t>
      </w:r>
    </w:p>
    <w:p w14:paraId="50BFD722">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1847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6"/>
                    <a:srcRect/>
                    <a:stretch>
                      <a:fillRect/>
                    </a:stretch>
                  </pic:blipFill>
                  <pic:spPr>
                    <a:xfrm>
                      <a:off x="0" y="0"/>
                      <a:ext cx="4381500" cy="1847850"/>
                    </a:xfrm>
                    <a:prstGeom prst="rect">
                      <a:avLst/>
                    </a:prstGeom>
                  </pic:spPr>
                </pic:pic>
              </a:graphicData>
            </a:graphic>
          </wp:inline>
        </w:drawing>
      </w:r>
    </w:p>
    <w:p w14:paraId="70BEA688">
      <w:pPr>
        <w:spacing w:after="240"/>
        <w:jc w:val="center"/>
      </w:pPr>
      <w:r>
        <w:rPr>
          <w:i/>
          <w:iCs/>
          <w:color w:val="5A5A5A"/>
          <w:sz w:val="18"/>
          <w:szCs w:val="18"/>
        </w:rPr>
        <w:t xml:space="preserve">Figure 12.2 </w:t>
      </w:r>
      <w:r>
        <w:rPr>
          <w:rFonts w:hint="default"/>
          <w:i/>
          <w:iCs/>
          <w:color w:val="5A5A5A"/>
          <w:sz w:val="18"/>
          <w:szCs w:val="18"/>
          <w:lang w:val="en-US"/>
        </w:rPr>
        <w:t>-</w:t>
      </w:r>
      <w:r>
        <w:rPr>
          <w:i/>
          <w:iCs/>
          <w:color w:val="5A5A5A"/>
          <w:sz w:val="18"/>
          <w:szCs w:val="18"/>
        </w:rPr>
        <w:t xml:space="preserve"> Edge_R1 CLI: Extended ACL 100 built to deny Guest VLAN traffic to HR/IT/Finance/Servers, permit everything else, applied inbound on the Guest sub-interface (Gig0/2.40).</w:t>
      </w:r>
    </w:p>
    <w:p w14:paraId="13A54DF3">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191000" cy="2524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7"/>
                    <a:srcRect/>
                    <a:stretch>
                      <a:fillRect/>
                    </a:stretch>
                  </pic:blipFill>
                  <pic:spPr>
                    <a:xfrm>
                      <a:off x="0" y="0"/>
                      <a:ext cx="4191000" cy="2524125"/>
                    </a:xfrm>
                    <a:prstGeom prst="rect">
                      <a:avLst/>
                    </a:prstGeom>
                  </pic:spPr>
                </pic:pic>
              </a:graphicData>
            </a:graphic>
          </wp:inline>
        </w:drawing>
      </w:r>
    </w:p>
    <w:p w14:paraId="0D4175F2">
      <w:pPr>
        <w:spacing w:after="240"/>
        <w:jc w:val="center"/>
      </w:pPr>
      <w:r>
        <w:rPr>
          <w:i/>
          <w:iCs/>
          <w:color w:val="5A5A5A"/>
          <w:sz w:val="18"/>
          <w:szCs w:val="18"/>
        </w:rPr>
        <w:t xml:space="preserve">Figure 12.3 </w:t>
      </w:r>
      <w:r>
        <w:rPr>
          <w:rFonts w:hint="default"/>
          <w:i/>
          <w:iCs/>
          <w:color w:val="5A5A5A"/>
          <w:sz w:val="18"/>
          <w:szCs w:val="18"/>
          <w:lang w:val="en-US"/>
        </w:rPr>
        <w:t>-</w:t>
      </w:r>
      <w:r>
        <w:rPr>
          <w:i/>
          <w:iCs/>
          <w:color w:val="5A5A5A"/>
          <w:sz w:val="18"/>
          <w:szCs w:val="18"/>
        </w:rPr>
        <w:t xml:space="preserve"> Guest_PC ping to the Servers VLAN (192.168.50.2) fails with “Destination host unreachable”, confirming isolation.</w:t>
      </w:r>
    </w:p>
    <w:p w14:paraId="3931310E">
      <w:pPr>
        <w:pBdr>
          <w:top w:val="single" w:color="B8B8B8" w:sz="6" w:space="0"/>
          <w:left w:val="single" w:color="B8B8B8" w:sz="6" w:space="0"/>
          <w:bottom w:val="single" w:color="B8B8B8" w:sz="6" w:space="0"/>
          <w:right w:val="single" w:color="B8B8B8" w:sz="6" w:space="0"/>
        </w:pBdr>
        <w:spacing w:before="200" w:after="80"/>
        <w:jc w:val="center"/>
      </w:pPr>
      <w:r>
        <w:drawing>
          <wp:inline distT="0" distB="0" distL="0" distR="0">
            <wp:extent cx="4381500" cy="8667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8"/>
                    <a:srcRect/>
                    <a:stretch>
                      <a:fillRect/>
                    </a:stretch>
                  </pic:blipFill>
                  <pic:spPr>
                    <a:xfrm>
                      <a:off x="0" y="0"/>
                      <a:ext cx="4381500" cy="866775"/>
                    </a:xfrm>
                    <a:prstGeom prst="rect">
                      <a:avLst/>
                    </a:prstGeom>
                  </pic:spPr>
                </pic:pic>
              </a:graphicData>
            </a:graphic>
          </wp:inline>
        </w:drawing>
      </w:r>
    </w:p>
    <w:p w14:paraId="5689D333">
      <w:pPr>
        <w:spacing w:after="240"/>
        <w:jc w:val="center"/>
      </w:pPr>
      <w:r>
        <w:rPr>
          <w:i/>
          <w:iCs/>
          <w:color w:val="5A5A5A"/>
          <w:sz w:val="18"/>
          <w:szCs w:val="18"/>
        </w:rPr>
        <w:t xml:space="preserve">Figure 12.4 </w:t>
      </w:r>
      <w:r>
        <w:rPr>
          <w:rFonts w:hint="default"/>
          <w:i/>
          <w:iCs/>
          <w:color w:val="5A5A5A"/>
          <w:sz w:val="18"/>
          <w:szCs w:val="18"/>
          <w:lang w:val="en-US"/>
        </w:rPr>
        <w:t>-</w:t>
      </w:r>
      <w:r>
        <w:rPr>
          <w:i/>
          <w:iCs/>
          <w:color w:val="5A5A5A"/>
          <w:sz w:val="18"/>
          <w:szCs w:val="18"/>
        </w:rPr>
        <w:t xml:space="preserve"> show access-lists 100 output: 4 matches logged on the deny-to-Servers line, confirming the ACL is actively intercepting guest traffic.</w:t>
      </w:r>
    </w:p>
    <w:p w14:paraId="7725D41A">
      <w:r>
        <w:br w:type="page"/>
      </w:r>
    </w:p>
    <w:p w14:paraId="3B63C9D4">
      <w:pPr>
        <w:pStyle w:val="2"/>
        <w:pBdr>
          <w:bottom w:val="single" w:color="1A1A1A" w:sz="8" w:space="0"/>
        </w:pBdr>
        <w:spacing w:before="360" w:after="160"/>
      </w:pPr>
      <w:r>
        <w:rPr>
          <w:b/>
          <w:bCs/>
          <w:color w:val="1A1A1A"/>
          <w:sz w:val="30"/>
          <w:szCs w:val="30"/>
        </w:rPr>
        <w:t>13. Conclusion &amp; Lessons Learned</w:t>
      </w:r>
    </w:p>
    <w:p w14:paraId="79947971">
      <w:pPr>
        <w:spacing w:after="160" w:line="276" w:lineRule="auto"/>
      </w:pPr>
      <w:r>
        <w:rPr>
          <w:color w:val="222222"/>
          <w:sz w:val="22"/>
          <w:szCs w:val="22"/>
        </w:rPr>
        <w:t>This capstone project brought together every core discipline covered across the CYBERSTER internship into a single, cohesive enterprise deployment. The final network satisfies all stated requirements for departmental isolation, centralized services, high availability, and perimeter security.</w:t>
      </w:r>
    </w:p>
    <w:p w14:paraId="201DE975">
      <w:pPr>
        <w:pStyle w:val="3"/>
        <w:spacing w:before="260" w:after="120"/>
      </w:pPr>
      <w:r>
        <w:rPr>
          <w:b/>
          <w:bCs/>
          <w:color w:val="333333"/>
          <w:sz w:val="24"/>
          <w:szCs w:val="24"/>
        </w:rPr>
        <w:t>Project Checklist</w:t>
      </w:r>
    </w:p>
    <w:tbl>
      <w:tblPr>
        <w:tblStyle w:val="9"/>
        <w:tblW w:w="9440" w:type="dxa"/>
        <w:jc w:val="center"/>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Layout w:type="autofit"/>
        <w:tblCellMar>
          <w:top w:w="0" w:type="dxa"/>
          <w:left w:w="10" w:type="dxa"/>
          <w:bottom w:w="0" w:type="dxa"/>
          <w:right w:w="10" w:type="dxa"/>
        </w:tblCellMar>
      </w:tblPr>
      <w:tblGrid>
        <w:gridCol w:w="9440"/>
      </w:tblGrid>
      <w:tr w14:paraId="27B0CAC0">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4F91F601">
            <w:r>
              <w:rPr>
                <w:b/>
                <w:bCs/>
                <w:color w:val="FFFFFF"/>
                <w:sz w:val="22"/>
                <w:szCs w:val="22"/>
              </w:rPr>
              <w:t xml:space="preserve">✓  </w:t>
            </w:r>
            <w:r>
              <w:rPr>
                <w:color w:val="FFFFFF"/>
                <w:sz w:val="21"/>
                <w:szCs w:val="21"/>
              </w:rPr>
              <w:t>Hierarchical three-tier topology deployed (Core/Edge, Distribution, Access)</w:t>
            </w:r>
          </w:p>
        </w:tc>
      </w:tr>
      <w:tr w14:paraId="1FC1925F">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2A3036AF">
            <w:r>
              <w:rPr>
                <w:b/>
                <w:bCs/>
                <w:color w:val="FFFFFF"/>
                <w:sz w:val="22"/>
                <w:szCs w:val="22"/>
              </w:rPr>
              <w:t xml:space="preserve">✓  </w:t>
            </w:r>
            <w:r>
              <w:rPr>
                <w:color w:val="FFFFFF"/>
                <w:sz w:val="21"/>
                <w:szCs w:val="21"/>
              </w:rPr>
              <w:t>VLSM IP addressing plan calculated and applied without overlap across 6 VLANs</w:t>
            </w:r>
          </w:p>
        </w:tc>
      </w:tr>
      <w:tr w14:paraId="1F9CFB27">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20F7771C">
            <w:r>
              <w:rPr>
                <w:b/>
                <w:bCs/>
                <w:color w:val="FFFFFF"/>
                <w:sz w:val="22"/>
                <w:szCs w:val="22"/>
              </w:rPr>
              <w:t xml:space="preserve">✓  </w:t>
            </w:r>
            <w:r>
              <w:rPr>
                <w:color w:val="FFFFFF"/>
                <w:sz w:val="21"/>
                <w:szCs w:val="21"/>
              </w:rPr>
              <w:t>Secure management: SSH-only access, encrypted enable secret, RSA keys, VLAN 99 management SVI</w:t>
            </w:r>
          </w:p>
        </w:tc>
      </w:tr>
      <w:tr w14:paraId="2EFAE942">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18137DE1">
            <w:r>
              <w:rPr>
                <w:b/>
                <w:bCs/>
                <w:color w:val="FFFFFF"/>
                <w:sz w:val="22"/>
                <w:szCs w:val="22"/>
              </w:rPr>
              <w:t xml:space="preserve">✓  </w:t>
            </w:r>
            <w:r>
              <w:rPr>
                <w:color w:val="FFFFFF"/>
                <w:sz w:val="21"/>
                <w:szCs w:val="21"/>
              </w:rPr>
              <w:t>Layer-2 segmentation: VLAN database, access-port hardcoding, and 802.1Q trunking across all switches</w:t>
            </w:r>
          </w:p>
        </w:tc>
      </w:tr>
      <w:tr w14:paraId="7C81C0EC">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3B63536B">
            <w:r>
              <w:rPr>
                <w:b/>
                <w:bCs/>
                <w:color w:val="FFFFFF"/>
                <w:sz w:val="22"/>
                <w:szCs w:val="22"/>
              </w:rPr>
              <w:t xml:space="preserve">✓  </w:t>
            </w:r>
            <w:r>
              <w:rPr>
                <w:color w:val="FFFFFF"/>
                <w:sz w:val="21"/>
                <w:szCs w:val="21"/>
              </w:rPr>
              <w:t>Router-on-a-Stick inter-VLAN routing deployed on Edge_R1 with verified cross-VLAN reachability</w:t>
            </w:r>
          </w:p>
        </w:tc>
      </w:tr>
      <w:tr w14:paraId="5990B366">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44D8B604">
            <w:r>
              <w:rPr>
                <w:b/>
                <w:bCs/>
                <w:color w:val="FFFFFF"/>
                <w:sz w:val="22"/>
                <w:szCs w:val="22"/>
              </w:rPr>
              <w:t xml:space="preserve">✓  </w:t>
            </w:r>
            <w:r>
              <w:rPr>
                <w:color w:val="FFFFFF"/>
                <w:sz w:val="21"/>
                <w:szCs w:val="21"/>
              </w:rPr>
              <w:t>LACP EtherChannel deployed between distribution switches for Layer-2 redundancy and added bandwidth</w:t>
            </w:r>
          </w:p>
        </w:tc>
      </w:tr>
      <w:tr w14:paraId="3E959219">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71BEE6A3">
            <w:r>
              <w:rPr>
                <w:b/>
                <w:bCs/>
                <w:color w:val="FFFFFF"/>
                <w:sz w:val="22"/>
                <w:szCs w:val="22"/>
              </w:rPr>
              <w:t xml:space="preserve">✓  </w:t>
            </w:r>
            <w:r>
              <w:rPr>
                <w:color w:val="FFFFFF"/>
                <w:sz w:val="21"/>
                <w:szCs w:val="21"/>
              </w:rPr>
              <w:t>Single-Area OSPF dynamic routing deployed across ISP, Edge_R1, and Edge_R2 with FULL adjacencies</w:t>
            </w:r>
          </w:p>
        </w:tc>
      </w:tr>
      <w:tr w14:paraId="07573415">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621E3212">
            <w:r>
              <w:rPr>
                <w:b/>
                <w:bCs/>
                <w:color w:val="FFFFFF"/>
                <w:sz w:val="22"/>
                <w:szCs w:val="22"/>
              </w:rPr>
              <w:t xml:space="preserve">✓  </w:t>
            </w:r>
            <w:r>
              <w:rPr>
                <w:color w:val="FFFFFF"/>
                <w:sz w:val="21"/>
                <w:szCs w:val="21"/>
              </w:rPr>
              <w:t>HSRP gateway redundancy configured for the HR VLAN with Active/Standby failover</w:t>
            </w:r>
          </w:p>
        </w:tc>
      </w:tr>
      <w:tr w14:paraId="6F01C6DC">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1C8A632A">
            <w:r>
              <w:rPr>
                <w:b/>
                <w:bCs/>
                <w:color w:val="FFFFFF"/>
                <w:sz w:val="22"/>
                <w:szCs w:val="22"/>
              </w:rPr>
              <w:t xml:space="preserve">✓  </w:t>
            </w:r>
            <w:r>
              <w:rPr>
                <w:color w:val="FFFFFF"/>
                <w:sz w:val="21"/>
                <w:szCs w:val="21"/>
              </w:rPr>
              <w:t>Stateful DHCP and edge PAT/NAT deployed for the IT VLAN</w:t>
            </w:r>
          </w:p>
        </w:tc>
      </w:tr>
      <w:tr w14:paraId="14244108">
        <w:tblPrEx>
          <w:tblBorders>
            <w:top w:val="single" w:color="1A1A1A" w:sz="4" w:space="0"/>
            <w:left w:val="single" w:color="1A1A1A" w:sz="4" w:space="0"/>
            <w:bottom w:val="single" w:color="1A1A1A" w:sz="4" w:space="0"/>
            <w:right w:val="single" w:color="1A1A1A" w:sz="4" w:space="0"/>
            <w:insideH w:val="single" w:color="555555" w:sz="4" w:space="0"/>
            <w:insideV w:val="none" w:color="auto" w:sz="0" w:space="0"/>
          </w:tblBorders>
          <w:tblCellMar>
            <w:top w:w="0" w:type="dxa"/>
            <w:left w:w="10" w:type="dxa"/>
            <w:bottom w:w="0" w:type="dxa"/>
            <w:right w:w="10" w:type="dxa"/>
          </w:tblCellMar>
        </w:tblPrEx>
        <w:trPr>
          <w:jc w:val="center"/>
        </w:trPr>
        <w:tc>
          <w:tcPr>
            <w:shd w:val="clear" w:color="auto" w:fill="333333"/>
            <w:tcMar>
              <w:top w:w="120" w:type="dxa"/>
              <w:left w:w="180" w:type="dxa"/>
              <w:bottom w:w="120" w:type="dxa"/>
              <w:right w:w="180" w:type="dxa"/>
            </w:tcMar>
          </w:tcPr>
          <w:p w14:paraId="1418BB47">
            <w:r>
              <w:rPr>
                <w:b/>
                <w:bCs/>
                <w:color w:val="FFFFFF"/>
                <w:sz w:val="22"/>
                <w:szCs w:val="22"/>
              </w:rPr>
              <w:t xml:space="preserve">✓  </w:t>
            </w:r>
            <w:r>
              <w:rPr>
                <w:color w:val="FFFFFF"/>
                <w:sz w:val="21"/>
                <w:szCs w:val="21"/>
              </w:rPr>
              <w:t>Extended ACL deployed to isolate the Guest VLAN while preserving controlled internet access</w:t>
            </w:r>
          </w:p>
        </w:tc>
      </w:tr>
    </w:tbl>
    <w:p w14:paraId="7A67BC26">
      <w:pPr>
        <w:spacing w:before="260"/>
      </w:pPr>
    </w:p>
    <w:p w14:paraId="12736A7E">
      <w:pPr>
        <w:spacing w:after="160" w:line="276" w:lineRule="auto"/>
      </w:pPr>
      <w:r>
        <w:rPr>
          <w:color w:val="222222"/>
          <w:sz w:val="22"/>
          <w:szCs w:val="22"/>
        </w:rPr>
        <w:t>Working through this build end-to-end reinforced how each layer of the design depends on the one below it: segmentation is only meaningful once trunking carries it correctly, routing is only reliable once redundancy protects it, and access policy is only enforceable once addressing and routing are already stable. Troubleshooting the OSPF default-route limitation in Packet Tracer was also a useful reminder to verify outcomes (adjacency state, ACL counters) rather than relying solely on command acceptance.</w:t>
      </w:r>
    </w:p>
    <w:p w14:paraId="4C635F53">
      <w:pPr>
        <w:spacing w:after="160" w:line="276" w:lineRule="auto"/>
      </w:pPr>
      <w:r>
        <w:rPr>
          <w:color w:val="222222"/>
          <w:sz w:val="22"/>
          <w:szCs w:val="22"/>
        </w:rPr>
        <w:t>This concludes the Secure Enterprise Network Final Capstone Project for the CYBERSTER Internship Program.</w:t>
      </w:r>
    </w:p>
    <w:sectPr>
      <w:headerReference r:id="rId3" w:type="default"/>
      <w:footerReference r:id="rId4" w:type="default"/>
      <w:pgSz w:w="12240" w:h="15840"/>
      <w:pgMar w:top="1080" w:right="1195" w:bottom="1080" w:left="1195" w:header="708" w:footer="708" w:gutter="0"/>
      <w:pgBorders>
        <w:top w:val="single" w:color="808080" w:sz="12" w:space="1"/>
        <w:left w:val="single" w:color="808080" w:sz="12" w:space="4"/>
        <w:bottom w:val="single" w:color="808080" w:sz="12" w:space="1"/>
        <w:right w:val="single" w:color="80808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C235D">
    <w:pPr>
      <w:jc w:val="center"/>
    </w:pPr>
    <w:r>
      <w:rPr>
        <w:color w:val="5A5A5A"/>
        <w:sz w:val="16"/>
        <w:szCs w:val="16"/>
      </w:rPr>
      <w:t xml:space="preserve">Page </w:t>
    </w:r>
    <w:r>
      <w:rPr>
        <w:color w:val="5A5A5A"/>
        <w:sz w:val="16"/>
        <w:szCs w:val="16"/>
      </w:rPr>
      <w:fldChar w:fldCharType="begin"/>
    </w:r>
    <w:r>
      <w:rPr>
        <w:color w:val="5A5A5A"/>
        <w:sz w:val="16"/>
        <w:szCs w:val="16"/>
      </w:rPr>
      <w:instrText xml:space="preserve">PAGE</w:instrText>
    </w:r>
    <w:r>
      <w:rPr>
        <w:color w:val="5A5A5A"/>
        <w:sz w:val="16"/>
        <w:szCs w:val="16"/>
      </w:rPr>
      <w:fldChar w:fldCharType="separate"/>
    </w:r>
    <w:r>
      <w:rPr>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A6DE6">
    <w:pPr>
      <w:rPr>
        <w:rFonts w:hint="default"/>
        <w:lang w:val="en-US"/>
      </w:rPr>
    </w:pPr>
    <w:r>
      <w:rPr>
        <w:rFonts w:hint="default"/>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1D5934F7"/>
    <w:rsid w:val="2F5A3D7C"/>
    <w:rsid w:val="38B633A4"/>
    <w:rsid w:val="4E8D19E6"/>
    <w:rsid w:val="53380223"/>
    <w:rsid w:val="5CCF2BB2"/>
    <w:rsid w:val="62D66680"/>
    <w:rsid w:val="781731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1517</Words>
  <Characters>9229</Characters>
  <TotalTime>11</TotalTime>
  <ScaleCrop>false</ScaleCrop>
  <LinksUpToDate>false</LinksUpToDate>
  <CharactersWithSpaces>10617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2026-09-10T18:56:00Z</dcterms:created>
  <dc:creator>Un-named</dc:creator>
  <cp:lastModifiedBy>Raza Javaid</cp:lastModifiedBy>
  <dcterms:modified xsi:type="dcterms:W3CDTF">2026-09-11T19:26:29Z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1033-12.1.0.28485</vt:lpwstr>
  </property>
  <property fmtid="{D5CDD505-2E9C-101B-9397-08002B2CF9AE}" pid="4" name="ICV">
    <vt:lpwstr>34F017683DE849949B678907C813554C_12</vt:lpwstr>
  </property>
</Properties>
</file>