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Ritz-Carlton in Paris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2026-01-06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2025-11-29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2026-03-17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2026-02-26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2025-12-24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2026-04-27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2025-12-20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2026-04-18</w:t>
            </w:r>
          </w:p>
        </w:tc>
        <w:tc>
          <w:p>
            <w:r>
              <w:t>113.0</w:t>
            </w:r>
          </w:p>
        </w:tc>
      </w:tr>
      <w:tr>
        <w:tc>
          <w:p>
            <w:r>
              <w:t>2026-03-15</w:t>
            </w:r>
          </w:p>
        </w:tc>
        <w:tc>
          <w:p>
            <w:r>
              <w:t>118.0</w:t>
            </w:r>
          </w:p>
        </w:tc>
      </w:tr>
      <w:tr>
        <w:tc>
          <w:p>
            <w:r>
              <w:t>2025-11-26</w:t>
            </w:r>
          </w:p>
        </w:tc>
        <w:tc>
          <w:p>
            <w:r>
              <w:t>119.0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2025-11-03T23:57:30Z</dcterms:created>
  <dc:creator>Apache POI</dc:creator>
</cp:coreProperties>
</file>