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93CF0A" w14:textId="1222EC1B" w:rsidR="00BA1995" w:rsidRPr="00BA1995" w:rsidRDefault="00BA1995" w:rsidP="00BA1995">
      <w:pPr>
        <w:widowControl w:val="0"/>
        <w:spacing w:after="0" w:line="240" w:lineRule="auto"/>
        <w:ind w:left="6237"/>
        <w:jc w:val="right"/>
        <w:rPr>
          <w:rFonts w:ascii="Times New Roman" w:hAnsi="Times New Roman" w:cs="Times New Roman"/>
          <w:sz w:val="20"/>
          <w:szCs w:val="20"/>
        </w:rPr>
      </w:pPr>
      <w:r w:rsidRPr="00BA1995">
        <w:rPr>
          <w:rFonts w:ascii="Times New Roman" w:hAnsi="Times New Roman" w:cs="Times New Roman"/>
          <w:sz w:val="20"/>
          <w:szCs w:val="20"/>
        </w:rPr>
        <w:t>Приложение № 2</w:t>
      </w:r>
    </w:p>
    <w:p w14:paraId="527A8966" w14:textId="5C272966" w:rsidR="00BA1995" w:rsidRPr="00BA1995" w:rsidRDefault="00BA1995" w:rsidP="00BA1995">
      <w:pPr>
        <w:widowControl w:val="0"/>
        <w:spacing w:after="0" w:line="240" w:lineRule="auto"/>
        <w:ind w:left="6237"/>
        <w:jc w:val="right"/>
        <w:rPr>
          <w:rFonts w:ascii="Times New Roman" w:hAnsi="Times New Roman" w:cs="Times New Roman"/>
          <w:sz w:val="20"/>
          <w:szCs w:val="20"/>
        </w:rPr>
      </w:pPr>
      <w:r w:rsidRPr="00BA1995">
        <w:rPr>
          <w:rFonts w:ascii="Times New Roman" w:hAnsi="Times New Roman" w:cs="Times New Roman"/>
          <w:sz w:val="20"/>
          <w:szCs w:val="20"/>
        </w:rPr>
        <w:t xml:space="preserve">к извещению о проведении </w:t>
      </w:r>
      <w:r w:rsidR="005A4A08">
        <w:rPr>
          <w:rFonts w:ascii="Times New Roman" w:hAnsi="Times New Roman" w:cs="Times New Roman"/>
          <w:sz w:val="20"/>
          <w:szCs w:val="20"/>
        </w:rPr>
        <w:t>электронного аукциона</w:t>
      </w:r>
    </w:p>
    <w:p w14:paraId="16CCB04A" w14:textId="77777777" w:rsidR="00BA1995" w:rsidRDefault="00BA1995" w:rsidP="00055170">
      <w:pPr>
        <w:spacing w:after="0"/>
        <w:jc w:val="center"/>
        <w:rPr>
          <w:rFonts w:ascii="Times New Roman" w:hAnsi="Times New Roman" w:cs="Times New Roman"/>
          <w:b/>
          <w:sz w:val="23"/>
          <w:szCs w:val="23"/>
        </w:rPr>
      </w:pPr>
    </w:p>
    <w:p w14:paraId="2B9A61E0" w14:textId="5CFDFC80" w:rsidR="00055170" w:rsidRPr="00533D9E" w:rsidRDefault="00055170" w:rsidP="00055170">
      <w:pPr>
        <w:spacing w:after="0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533D9E">
        <w:rPr>
          <w:rFonts w:ascii="Times New Roman" w:hAnsi="Times New Roman" w:cs="Times New Roman"/>
          <w:b/>
          <w:sz w:val="23"/>
          <w:szCs w:val="23"/>
        </w:rPr>
        <w:t>ОБОСНОВАНИЕ НАЧАЛЬНОЙ (МАКСИМАЛЬНОЙ) ЦЕНЫ КОНТРАКТА</w:t>
      </w:r>
    </w:p>
    <w:p w14:paraId="6A55B4F1" w14:textId="5943FB24" w:rsidR="00593C66" w:rsidRDefault="00792EA2" w:rsidP="000D06B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Batang" w:hAnsi="Times New Roman" w:cs="Times New Roman"/>
          <w:b/>
          <w:bCs/>
          <w:color w:val="000000"/>
          <w:lang w:eastAsia="ko-KR"/>
        </w:rPr>
      </w:pPr>
      <w:r w:rsidRPr="00792EA2">
        <w:rPr>
          <w:rFonts w:ascii="Times New Roman" w:eastAsia="Batang" w:hAnsi="Times New Roman" w:cs="Times New Roman"/>
          <w:b/>
          <w:bCs/>
          <w:color w:val="000000"/>
          <w:lang w:eastAsia="ko-KR"/>
        </w:rPr>
        <w:t>Благоустройство общественной территории: устройство уличного освещения «Парк за культурно-досуговым комплексом» по адресу: Ивановская область, Вичугский район, п. Каменка, ул. 1 Мая, д. 11</w:t>
      </w:r>
    </w:p>
    <w:p w14:paraId="200666BA" w14:textId="77777777" w:rsidR="00792EA2" w:rsidRPr="005316C5" w:rsidRDefault="00792EA2" w:rsidP="000D06B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Batang" w:hAnsi="Times New Roman" w:cs="Times New Roman"/>
          <w:b/>
          <w:bCs/>
          <w:color w:val="000000"/>
          <w:lang w:eastAsia="ko-KR"/>
        </w:rPr>
      </w:pPr>
    </w:p>
    <w:tbl>
      <w:tblPr>
        <w:tblW w:w="1460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828"/>
        <w:gridCol w:w="10773"/>
      </w:tblGrid>
      <w:tr w:rsidR="00055170" w:rsidRPr="00EB6D11" w14:paraId="3704C6D6" w14:textId="77777777" w:rsidTr="00EB6D11">
        <w:trPr>
          <w:trHeight w:val="73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67F64" w14:textId="35692F1F" w:rsidR="00055170" w:rsidRPr="00EB6D11" w:rsidRDefault="00EB6D11" w:rsidP="00055170">
            <w:pPr>
              <w:spacing w:after="0"/>
              <w:ind w:left="57" w:right="57" w:hanging="7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B6D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</w:t>
            </w:r>
            <w:r w:rsidR="00055170" w:rsidRPr="00EB6D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бъект закупки</w:t>
            </w:r>
          </w:p>
        </w:tc>
        <w:tc>
          <w:tcPr>
            <w:tcW w:w="10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20349" w14:textId="1AB844AD" w:rsidR="00055170" w:rsidRPr="00EB6D11" w:rsidRDefault="00792EA2" w:rsidP="00792EA2">
            <w:pPr>
              <w:pStyle w:val="a6"/>
              <w:numPr>
                <w:ilvl w:val="0"/>
                <w:numId w:val="1"/>
              </w:numPr>
              <w:jc w:val="both"/>
              <w:rPr>
                <w:rFonts w:eastAsiaTheme="minorHAnsi"/>
                <w:color w:val="000000"/>
                <w:spacing w:val="2"/>
                <w:lang w:eastAsia="en-US"/>
              </w:rPr>
            </w:pPr>
            <w:r w:rsidRPr="00792EA2">
              <w:rPr>
                <w:rFonts w:eastAsiaTheme="minorHAnsi"/>
                <w:color w:val="000000"/>
                <w:spacing w:val="2"/>
                <w:lang w:eastAsia="en-US"/>
              </w:rPr>
              <w:t>Благоустройство общественной территории: устройство уличного освещения «Парк за культурно-досуговым комплексом» по адресу: Ивановская область, Вичугский район, п. Каменка, ул. 1 Мая, д. 11</w:t>
            </w:r>
          </w:p>
        </w:tc>
      </w:tr>
      <w:tr w:rsidR="00EB6D11" w:rsidRPr="00EB6D11" w14:paraId="15B38A16" w14:textId="77777777" w:rsidTr="007C0D2E">
        <w:trPr>
          <w:trHeight w:val="730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ED162B" w14:textId="46B2C71B" w:rsidR="00EB6D11" w:rsidRPr="00EB6D11" w:rsidRDefault="00EB6D11" w:rsidP="00EB6D11">
            <w:pPr>
              <w:spacing w:after="0"/>
              <w:ind w:left="57" w:right="57" w:hanging="7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B6D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Валюта, используемая для формирования НМЦК</w:t>
            </w:r>
          </w:p>
        </w:tc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21C0" w14:textId="538D252F" w:rsidR="00EB6D11" w:rsidRPr="00EB6D11" w:rsidRDefault="00EB6D11" w:rsidP="00EB6D11">
            <w:pPr>
              <w:pStyle w:val="a6"/>
              <w:numPr>
                <w:ilvl w:val="0"/>
                <w:numId w:val="1"/>
              </w:numPr>
              <w:jc w:val="both"/>
              <w:rPr>
                <w:rFonts w:eastAsiaTheme="minorHAnsi"/>
                <w:color w:val="000000"/>
                <w:spacing w:val="2"/>
                <w:lang w:eastAsia="en-US"/>
              </w:rPr>
            </w:pPr>
            <w:r w:rsidRPr="00EB6D11">
              <w:t>Российский рубль</w:t>
            </w:r>
          </w:p>
        </w:tc>
      </w:tr>
    </w:tbl>
    <w:p w14:paraId="0A66065B" w14:textId="77777777" w:rsidR="00EB6D11" w:rsidRPr="00EB6D11" w:rsidRDefault="00EB6D11" w:rsidP="00EB6D11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tbl>
      <w:tblPr>
        <w:tblStyle w:val="af0"/>
        <w:tblW w:w="14742" w:type="dxa"/>
        <w:tblLook w:val="04A0" w:firstRow="1" w:lastRow="0" w:firstColumn="1" w:lastColumn="0" w:noHBand="0" w:noVBand="1"/>
      </w:tblPr>
      <w:tblGrid>
        <w:gridCol w:w="2410"/>
        <w:gridCol w:w="12332"/>
      </w:tblGrid>
      <w:tr w:rsidR="00EB6D11" w:rsidRPr="00EB6D11" w14:paraId="5C5866A9" w14:textId="77777777" w:rsidTr="00C45D54">
        <w:tc>
          <w:tcPr>
            <w:tcW w:w="1474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0E892F" w14:textId="77777777" w:rsidR="00EB6D11" w:rsidRPr="00EB6D11" w:rsidRDefault="00EB6D11" w:rsidP="00EB6D11">
            <w:pPr>
              <w:tabs>
                <w:tab w:val="center" w:pos="4844"/>
              </w:tabs>
              <w:autoSpaceDE w:val="0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B6D1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Обоснование невозможности применения методов, указанных в части 1 статьи 22 Федерального закона № 44-ФЗ:</w:t>
            </w:r>
          </w:p>
          <w:p w14:paraId="53B1856C" w14:textId="77777777" w:rsidR="00EB6D11" w:rsidRPr="00EB6D11" w:rsidRDefault="00EB6D11" w:rsidP="00EB6D11">
            <w:pPr>
              <w:tabs>
                <w:tab w:val="center" w:pos="4844"/>
              </w:tabs>
              <w:autoSpaceDE w:val="0"/>
              <w:ind w:firstLine="709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EB6D11" w:rsidRPr="00EB6D11" w14:paraId="4C534BE1" w14:textId="77777777" w:rsidTr="00C45D54">
        <w:trPr>
          <w:trHeight w:val="1408"/>
        </w:trPr>
        <w:tc>
          <w:tcPr>
            <w:tcW w:w="2410" w:type="dxa"/>
            <w:tcBorders>
              <w:top w:val="single" w:sz="4" w:space="0" w:color="auto"/>
            </w:tcBorders>
          </w:tcPr>
          <w:p w14:paraId="466746D9" w14:textId="77777777" w:rsidR="00EB6D11" w:rsidRPr="00EB6D11" w:rsidRDefault="00EB6D11" w:rsidP="00EB6D11">
            <w:pPr>
              <w:tabs>
                <w:tab w:val="center" w:pos="4844"/>
              </w:tabs>
              <w:autoSpaceDE w:val="0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EB6D11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 xml:space="preserve">Метод сопоставимых рыночных цен </w:t>
            </w:r>
          </w:p>
          <w:p w14:paraId="0315CA6D" w14:textId="77777777" w:rsidR="00EB6D11" w:rsidRPr="00EB6D11" w:rsidRDefault="00EB6D11" w:rsidP="00EB6D11">
            <w:pPr>
              <w:tabs>
                <w:tab w:val="center" w:pos="4844"/>
              </w:tabs>
              <w:autoSpaceDE w:val="0"/>
              <w:contextualSpacing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B6D11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(анализ рынка)</w:t>
            </w:r>
          </w:p>
          <w:p w14:paraId="76037808" w14:textId="77777777" w:rsidR="00EB6D11" w:rsidRPr="00EB6D11" w:rsidRDefault="00EB6D11" w:rsidP="00EB6D11">
            <w:pPr>
              <w:tabs>
                <w:tab w:val="center" w:pos="4844"/>
              </w:tabs>
              <w:autoSpaceDE w:val="0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B6D1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(ч. 2 ст. 22 Федерального закона от 05.04.2013 № 44-ФЗ «О контрактной системе в сфере закупок товаров, работ, услуг для обеспечения государственных и муниципальных нужд»)</w:t>
            </w:r>
          </w:p>
        </w:tc>
        <w:tc>
          <w:tcPr>
            <w:tcW w:w="12332" w:type="dxa"/>
            <w:tcBorders>
              <w:top w:val="single" w:sz="4" w:space="0" w:color="auto"/>
            </w:tcBorders>
          </w:tcPr>
          <w:p w14:paraId="7E20D333" w14:textId="67319E67" w:rsidR="00EB6D11" w:rsidRPr="00EB6D11" w:rsidRDefault="00EB6D11" w:rsidP="00EB6D11">
            <w:pPr>
              <w:jc w:val="both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EB6D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Не применяется:</w:t>
            </w:r>
            <w:r w:rsidRPr="00EB6D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Метод анализа рынка не позволяет учесть </w:t>
            </w:r>
            <w:r w:rsidRPr="00EB6D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текущие рыночные цены,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 также</w:t>
            </w:r>
            <w:r w:rsidRPr="00EB6D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</w:t>
            </w:r>
            <w:r w:rsidRPr="00EB6D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прогнозировать возможные изменения. Например, сезонные колебания цен на материалы или рост стоимости труда. Также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выполнении работ возможно выявление непредвиденных работ и необходимо закладывать резерв</w:t>
            </w:r>
            <w:r w:rsidRPr="00EB6D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на непредвиденные расходы.</w:t>
            </w:r>
          </w:p>
        </w:tc>
      </w:tr>
      <w:tr w:rsidR="00EB6D11" w:rsidRPr="00EB6D11" w14:paraId="0AF7D88D" w14:textId="77777777" w:rsidTr="00C45D54">
        <w:trPr>
          <w:trHeight w:val="1914"/>
        </w:trPr>
        <w:tc>
          <w:tcPr>
            <w:tcW w:w="2410" w:type="dxa"/>
            <w:tcBorders>
              <w:top w:val="single" w:sz="4" w:space="0" w:color="auto"/>
            </w:tcBorders>
          </w:tcPr>
          <w:p w14:paraId="3292D66C" w14:textId="77777777" w:rsidR="00EB6D11" w:rsidRPr="00EB6D11" w:rsidRDefault="00EB6D11" w:rsidP="00EB6D11">
            <w:pPr>
              <w:tabs>
                <w:tab w:val="center" w:pos="4844"/>
              </w:tabs>
              <w:autoSpaceDE w:val="0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6D11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Нормативный метод</w:t>
            </w:r>
            <w:r w:rsidRPr="00EB6D1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(ч. 7 ст. 22 Федерального закона от 05.04.2013 № 44-ФЗ «О контрактной системе в сфере закупок товаров, работ, услуг для обеспечения государственных и муниципальных нужд»)</w:t>
            </w:r>
          </w:p>
        </w:tc>
        <w:tc>
          <w:tcPr>
            <w:tcW w:w="12332" w:type="dxa"/>
            <w:tcBorders>
              <w:top w:val="single" w:sz="4" w:space="0" w:color="auto"/>
            </w:tcBorders>
          </w:tcPr>
          <w:p w14:paraId="4638C55A" w14:textId="77777777" w:rsidR="00EB6D11" w:rsidRPr="00EB6D11" w:rsidRDefault="00EB6D11" w:rsidP="00EB6D11">
            <w:pPr>
              <w:tabs>
                <w:tab w:val="center" w:pos="4844"/>
              </w:tabs>
              <w:autoSpaceDE w:val="0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6D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Применить невозможно, так как указанный метод заключается в расчете начальной (максимальной) цены контракта на основе требований к закупаемым товарам, работам, услугам, установленных в соответствии со ст. 19 «Нормирование в сфере закупок» 44-ФЗ.</w:t>
            </w:r>
          </w:p>
        </w:tc>
      </w:tr>
      <w:tr w:rsidR="00EB6D11" w:rsidRPr="00EB6D11" w14:paraId="32D832BF" w14:textId="77777777" w:rsidTr="00C45D54">
        <w:trPr>
          <w:trHeight w:val="1971"/>
        </w:trPr>
        <w:tc>
          <w:tcPr>
            <w:tcW w:w="2410" w:type="dxa"/>
          </w:tcPr>
          <w:p w14:paraId="613B5E4E" w14:textId="77777777" w:rsidR="00EB6D11" w:rsidRPr="00EB6D11" w:rsidRDefault="00EB6D11" w:rsidP="00EB6D11">
            <w:pPr>
              <w:tabs>
                <w:tab w:val="center" w:pos="4844"/>
              </w:tabs>
              <w:autoSpaceDE w:val="0"/>
              <w:contextualSpacing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B6D11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Тарифный метод</w:t>
            </w:r>
            <w:r w:rsidRPr="00EB6D1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</w:p>
          <w:p w14:paraId="3D9DC24F" w14:textId="77777777" w:rsidR="00EB6D11" w:rsidRPr="00EB6D11" w:rsidRDefault="00EB6D11" w:rsidP="00EB6D11">
            <w:pPr>
              <w:tabs>
                <w:tab w:val="center" w:pos="4844"/>
              </w:tabs>
              <w:autoSpaceDE w:val="0"/>
              <w:contextualSpacing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B6D1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(ч. 8 ст. 22 Федерального закона от 05.04.2013 № 44-ФЗ «О контрактной системе в сфере закупок товаров, работ, услуг для обеспечения государственных и муниципальных нужд»)</w:t>
            </w:r>
          </w:p>
        </w:tc>
        <w:tc>
          <w:tcPr>
            <w:tcW w:w="12332" w:type="dxa"/>
          </w:tcPr>
          <w:p w14:paraId="683420B8" w14:textId="77777777" w:rsidR="00EB6D11" w:rsidRPr="00EB6D11" w:rsidRDefault="00EB6D11" w:rsidP="00EB6D1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6D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Применяться не может, так как в соответствии с законодательством Российской Федерации цены закупаемых товаров, работ, услуг для обеспечения государственных и муниципальных нужд на данный вид услуги не подлежат государственному, муниципальному регулированию.</w:t>
            </w:r>
          </w:p>
        </w:tc>
      </w:tr>
      <w:tr w:rsidR="00EB6D11" w:rsidRPr="00EB6D11" w14:paraId="51FA5A06" w14:textId="77777777" w:rsidTr="00C45D54">
        <w:trPr>
          <w:trHeight w:val="2126"/>
        </w:trPr>
        <w:tc>
          <w:tcPr>
            <w:tcW w:w="2410" w:type="dxa"/>
          </w:tcPr>
          <w:p w14:paraId="2B1FA58D" w14:textId="77777777" w:rsidR="00EB6D11" w:rsidRPr="00EB6D11" w:rsidRDefault="00EB6D11" w:rsidP="00EB6D11">
            <w:pPr>
              <w:tabs>
                <w:tab w:val="center" w:pos="4844"/>
              </w:tabs>
              <w:autoSpaceDE w:val="0"/>
              <w:contextualSpacing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B6D11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lastRenderedPageBreak/>
              <w:t>Проектно-сметный метод</w:t>
            </w:r>
            <w:r w:rsidRPr="00EB6D1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(ч. 9 ст. 22 Федерального закона от 05.04.2013 № 44-ФЗ «О контрактной системе в сфере закупок товаров, работ, услуг для обеспечения государственных и муниципальных нужд»)</w:t>
            </w:r>
          </w:p>
        </w:tc>
        <w:tc>
          <w:tcPr>
            <w:tcW w:w="12332" w:type="dxa"/>
          </w:tcPr>
          <w:p w14:paraId="781ED5BB" w14:textId="66F5A825" w:rsidR="00EB6D11" w:rsidRPr="00EB6D11" w:rsidRDefault="00EB6D11" w:rsidP="00EB6D11">
            <w:pPr>
              <w:tabs>
                <w:tab w:val="center" w:pos="4844"/>
              </w:tabs>
              <w:autoSpaceDE w:val="0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6D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Не применяется, так как данный вид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</w:t>
            </w:r>
            <w:r w:rsidRPr="00EB6D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 отнесен к перечню, установленному ч. 9 ст. 22 Федерального закона от 05.04.2013 № 44-ФЗ «О контрактной системе в сфере закупок товаров, работ, услуг для обеспечения государственных и муниципальных нужд».</w:t>
            </w:r>
          </w:p>
        </w:tc>
      </w:tr>
      <w:tr w:rsidR="00EB6D11" w:rsidRPr="00EB6D11" w14:paraId="032E5DB4" w14:textId="77777777" w:rsidTr="00C45D54">
        <w:trPr>
          <w:trHeight w:val="2100"/>
        </w:trPr>
        <w:tc>
          <w:tcPr>
            <w:tcW w:w="2410" w:type="dxa"/>
          </w:tcPr>
          <w:p w14:paraId="0C5C7206" w14:textId="77777777" w:rsidR="00EB6D11" w:rsidRPr="00EB6D11" w:rsidRDefault="00EB6D11" w:rsidP="00EB6D11">
            <w:pPr>
              <w:tabs>
                <w:tab w:val="center" w:pos="4844"/>
              </w:tabs>
              <w:autoSpaceDE w:val="0"/>
              <w:contextualSpacing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B6D11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Затратный метод</w:t>
            </w:r>
          </w:p>
          <w:p w14:paraId="518EFB7D" w14:textId="77777777" w:rsidR="00EB6D11" w:rsidRPr="00EB6D11" w:rsidRDefault="00EB6D11" w:rsidP="00EB6D11">
            <w:pPr>
              <w:tabs>
                <w:tab w:val="center" w:pos="4844"/>
              </w:tabs>
              <w:autoSpaceDE w:val="0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6D1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(ч. 10 ст. 22 Федерального закона от 05.04.2013 № 44-ФЗ «О контрактной системе в сфере закупок товаров, работ, услуг для обеспечения государственных и муниципальных нужд»)</w:t>
            </w:r>
          </w:p>
        </w:tc>
        <w:tc>
          <w:tcPr>
            <w:tcW w:w="12332" w:type="dxa"/>
          </w:tcPr>
          <w:p w14:paraId="7552C3CC" w14:textId="77777777" w:rsidR="00EB6D11" w:rsidRPr="00EB6D11" w:rsidRDefault="00EB6D11" w:rsidP="00EB6D11">
            <w:pPr>
              <w:tabs>
                <w:tab w:val="center" w:pos="4844"/>
              </w:tabs>
              <w:autoSpaceDE w:val="0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6D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применяется, в связи с тем, что метод заключается в определении начальной (максимальной) цены контракта, как суммы произведенных затрат и обычной для определенной сферы деятельности прибыли. Информация о структуре затрат и норме прибыли в единой информационной системе и других общедоступных источниках информация отсутствует.</w:t>
            </w:r>
          </w:p>
        </w:tc>
      </w:tr>
      <w:tr w:rsidR="00EB6D11" w:rsidRPr="00EB6D11" w14:paraId="77132FA2" w14:textId="77777777" w:rsidTr="00C45D54">
        <w:trPr>
          <w:trHeight w:val="443"/>
        </w:trPr>
        <w:tc>
          <w:tcPr>
            <w:tcW w:w="147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CD67C8" w14:textId="77777777" w:rsidR="00EB6D11" w:rsidRPr="00EB6D11" w:rsidRDefault="00EB6D11" w:rsidP="00EB6D11">
            <w:pPr>
              <w:tabs>
                <w:tab w:val="center" w:pos="4844"/>
              </w:tabs>
              <w:autoSpaceDE w:val="0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6D11" w:rsidRPr="00EB6D11" w14:paraId="67A3142B" w14:textId="77777777" w:rsidTr="00C45D54">
        <w:tc>
          <w:tcPr>
            <w:tcW w:w="2410" w:type="dxa"/>
            <w:tcBorders>
              <w:top w:val="single" w:sz="4" w:space="0" w:color="auto"/>
            </w:tcBorders>
          </w:tcPr>
          <w:p w14:paraId="361751BD" w14:textId="77777777" w:rsidR="00EB6D11" w:rsidRPr="00EB6D11" w:rsidRDefault="00EB6D11" w:rsidP="00EB6D11">
            <w:pPr>
              <w:tabs>
                <w:tab w:val="center" w:pos="4844"/>
              </w:tabs>
              <w:autoSpaceDE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6D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Используемый метод определения НМЦК с обоснованием:</w:t>
            </w:r>
          </w:p>
          <w:p w14:paraId="37A78B1D" w14:textId="77777777" w:rsidR="00EB6D11" w:rsidRPr="00EB6D11" w:rsidRDefault="00EB6D11" w:rsidP="00EB6D11">
            <w:pPr>
              <w:tabs>
                <w:tab w:val="center" w:pos="4844"/>
              </w:tabs>
              <w:autoSpaceDE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332" w:type="dxa"/>
            <w:tcBorders>
              <w:top w:val="single" w:sz="4" w:space="0" w:color="auto"/>
            </w:tcBorders>
          </w:tcPr>
          <w:p w14:paraId="545AF177" w14:textId="77777777" w:rsidR="005316C5" w:rsidRPr="00792EA2" w:rsidRDefault="00EB6D11" w:rsidP="00EB6D11">
            <w:pPr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2EA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Согласно части 12 статьи 22 Закона № 44-ФЗ в случае невозможности применения методов, указанных в части 1 указанной статьи, заказчик вправе применить иные методы. В этом случае в обоснование начальной (максимальной) цены контракта, цены контракта, заключаемого с единственным поставщиком (подрядчиком, исполнителем), заказчик обязан включить обоснование невозможности применения указанных методов. Таким образом, заказчик не применяет с учетом положений части 2 статьи 22 Закона № 44-ФЗ вышеуказанные методы обоснования начальной максимальной цены контракта,  включает в обоснование начальной (максимальной) цены контракта, цены контракта, заключаемого с единственным поставщиком (подрядчиком, исполнителем, обоснование невозможности применения методов, предусмотренных ч. 2, ч. 7-10 ст. 22 Закона о контрактной системе, и  применяет </w:t>
            </w:r>
            <w:r w:rsidRPr="00792EA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иной метод</w:t>
            </w:r>
            <w:r w:rsidRPr="00792EA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</w:t>
            </w:r>
          </w:p>
          <w:p w14:paraId="1670275F" w14:textId="53F6398E" w:rsidR="00EB6D11" w:rsidRPr="00792EA2" w:rsidRDefault="00EB6D11" w:rsidP="00792EA2">
            <w:pPr>
              <w:tabs>
                <w:tab w:val="center" w:pos="4844"/>
              </w:tabs>
              <w:autoSpaceDE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2EA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При этом при применении иного метода начальная (максимальная) цена контракта определяется на основании </w:t>
            </w:r>
            <w:r w:rsidR="00792EA2">
              <w:rPr>
                <w:rFonts w:ascii="Times New Roman" w:eastAsia="Calibri" w:hAnsi="Times New Roman" w:cs="Times New Roman"/>
                <w:sz w:val="20"/>
                <w:szCs w:val="20"/>
              </w:rPr>
              <w:t>сметной документации</w:t>
            </w:r>
            <w:r w:rsidR="001F7A10" w:rsidRPr="00792EA2">
              <w:rPr>
                <w:rFonts w:ascii="Times New Roman" w:eastAsia="Calibri" w:hAnsi="Times New Roman" w:cs="Times New Roman"/>
                <w:sz w:val="20"/>
                <w:szCs w:val="20"/>
              </w:rPr>
              <w:t>*</w:t>
            </w:r>
            <w:r w:rsidR="00C07E04" w:rsidRPr="00792EA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и составляет </w:t>
            </w:r>
            <w:r w:rsidR="00792EA2" w:rsidRPr="00792EA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2 352 000,00 </w:t>
            </w:r>
            <w:r w:rsidR="008D116E" w:rsidRPr="00792EA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(</w:t>
            </w:r>
            <w:r w:rsidR="00792EA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Два миллиона триста пятьдесят две тысячи</w:t>
            </w:r>
            <w:r w:rsidR="008D116E" w:rsidRPr="00792EA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) рублей 00 копеек.</w:t>
            </w:r>
            <w:bookmarkStart w:id="0" w:name="_GoBack"/>
            <w:bookmarkEnd w:id="0"/>
          </w:p>
        </w:tc>
      </w:tr>
    </w:tbl>
    <w:p w14:paraId="5B4E9034" w14:textId="77777777" w:rsidR="001139D2" w:rsidRDefault="001139D2" w:rsidP="00055170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</w:p>
    <w:p w14:paraId="676EABB7" w14:textId="784E20AB" w:rsidR="007A2D46" w:rsidRDefault="007A2D46" w:rsidP="00055170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</w:p>
    <w:p w14:paraId="68483DD9" w14:textId="6C5F7685" w:rsidR="000046D9" w:rsidRDefault="001F7A10" w:rsidP="001F7A10">
      <w:pPr>
        <w:spacing w:after="0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*</w:t>
      </w:r>
      <w:r w:rsidRPr="001F7A10">
        <w:t xml:space="preserve"> </w:t>
      </w:r>
      <w:r w:rsidR="008D116E">
        <w:rPr>
          <w:rFonts w:ascii="Times New Roman" w:hAnsi="Times New Roman" w:cs="Times New Roman"/>
          <w:sz w:val="23"/>
          <w:szCs w:val="23"/>
        </w:rPr>
        <w:t>Сметная документация</w:t>
      </w:r>
      <w:r w:rsidR="002D259D">
        <w:rPr>
          <w:rFonts w:ascii="Times New Roman" w:hAnsi="Times New Roman" w:cs="Times New Roman"/>
          <w:sz w:val="23"/>
          <w:szCs w:val="23"/>
        </w:rPr>
        <w:t xml:space="preserve"> </w:t>
      </w:r>
      <w:r w:rsidRPr="001F7A10">
        <w:rPr>
          <w:rFonts w:ascii="Times New Roman" w:hAnsi="Times New Roman" w:cs="Times New Roman"/>
          <w:sz w:val="23"/>
          <w:szCs w:val="23"/>
        </w:rPr>
        <w:t>размещена на официальном сайте единой информационно системы в сфере закупок в информационно-телекоммуникационной сети "Интернет" (www.zakupki.gov.ru) отдельными файлами</w:t>
      </w:r>
    </w:p>
    <w:p w14:paraId="73EB6E63" w14:textId="77777777" w:rsidR="000046D9" w:rsidRDefault="000046D9" w:rsidP="00055170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</w:p>
    <w:p w14:paraId="528EAF43" w14:textId="58D2709A" w:rsidR="008E2543" w:rsidRDefault="008E2543" w:rsidP="0065213B">
      <w:pPr>
        <w:spacing w:after="0"/>
        <w:rPr>
          <w:rFonts w:ascii="Times New Roman" w:hAnsi="Times New Roman" w:cs="Times New Roman"/>
          <w:sz w:val="23"/>
          <w:szCs w:val="23"/>
        </w:rPr>
      </w:pPr>
    </w:p>
    <w:p w14:paraId="1A78C7E5" w14:textId="77777777" w:rsidR="00C754A7" w:rsidRDefault="00C754A7" w:rsidP="0065213B">
      <w:pPr>
        <w:spacing w:after="0"/>
        <w:rPr>
          <w:rFonts w:ascii="Times New Roman" w:hAnsi="Times New Roman" w:cs="Times New Roman"/>
          <w:sz w:val="23"/>
          <w:szCs w:val="23"/>
        </w:rPr>
      </w:pPr>
    </w:p>
    <w:p w14:paraId="6213AA7B" w14:textId="77777777" w:rsidR="00C754A7" w:rsidRDefault="00C754A7" w:rsidP="0065213B">
      <w:pPr>
        <w:spacing w:after="0"/>
        <w:rPr>
          <w:rFonts w:ascii="Times New Roman" w:hAnsi="Times New Roman" w:cs="Times New Roman"/>
          <w:sz w:val="23"/>
          <w:szCs w:val="23"/>
        </w:rPr>
      </w:pPr>
    </w:p>
    <w:sectPr w:rsidR="00C754A7" w:rsidSect="00EB6D11">
      <w:pgSz w:w="16838" w:h="11906" w:orient="landscape"/>
      <w:pgMar w:top="709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C20DBC" w14:textId="77777777" w:rsidR="00136262" w:rsidRDefault="00136262" w:rsidP="00055170">
      <w:pPr>
        <w:spacing w:after="0" w:line="240" w:lineRule="auto"/>
      </w:pPr>
      <w:r>
        <w:separator/>
      </w:r>
    </w:p>
  </w:endnote>
  <w:endnote w:type="continuationSeparator" w:id="0">
    <w:p w14:paraId="024B0273" w14:textId="77777777" w:rsidR="00136262" w:rsidRDefault="00136262" w:rsidP="00055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??Ўю¬в?¬р???¬рЎю¬У??¬рЎю¬ў??¬рЎ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2E75D6" w14:textId="77777777" w:rsidR="00136262" w:rsidRDefault="00136262" w:rsidP="00055170">
      <w:pPr>
        <w:spacing w:after="0" w:line="240" w:lineRule="auto"/>
      </w:pPr>
      <w:r>
        <w:separator/>
      </w:r>
    </w:p>
  </w:footnote>
  <w:footnote w:type="continuationSeparator" w:id="0">
    <w:p w14:paraId="589CC213" w14:textId="77777777" w:rsidR="00136262" w:rsidRDefault="00136262" w:rsidP="000551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b/>
        <w:i/>
        <w:caps/>
        <w:spacing w:val="-3"/>
        <w:sz w:val="28"/>
        <w:szCs w:val="28"/>
        <w:shd w:val="clear" w:color="auto" w:fill="00FF0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170"/>
    <w:rsid w:val="000046D9"/>
    <w:rsid w:val="00025A35"/>
    <w:rsid w:val="000536AB"/>
    <w:rsid w:val="00054236"/>
    <w:rsid w:val="00055170"/>
    <w:rsid w:val="000630FE"/>
    <w:rsid w:val="000D06BF"/>
    <w:rsid w:val="000D2EE5"/>
    <w:rsid w:val="000F4880"/>
    <w:rsid w:val="0010207B"/>
    <w:rsid w:val="001139D2"/>
    <w:rsid w:val="00123ECB"/>
    <w:rsid w:val="00136262"/>
    <w:rsid w:val="00152F10"/>
    <w:rsid w:val="00160AEA"/>
    <w:rsid w:val="00171360"/>
    <w:rsid w:val="001A33F2"/>
    <w:rsid w:val="001F649D"/>
    <w:rsid w:val="001F7A10"/>
    <w:rsid w:val="002701F3"/>
    <w:rsid w:val="00281E79"/>
    <w:rsid w:val="002A5AB8"/>
    <w:rsid w:val="002D259D"/>
    <w:rsid w:val="002E3ADC"/>
    <w:rsid w:val="002E58F4"/>
    <w:rsid w:val="002E5977"/>
    <w:rsid w:val="0030101D"/>
    <w:rsid w:val="00326DA4"/>
    <w:rsid w:val="003612D8"/>
    <w:rsid w:val="003D04FE"/>
    <w:rsid w:val="0045687D"/>
    <w:rsid w:val="00486E28"/>
    <w:rsid w:val="00501DF2"/>
    <w:rsid w:val="005316C5"/>
    <w:rsid w:val="00533D9E"/>
    <w:rsid w:val="00534D87"/>
    <w:rsid w:val="005473E2"/>
    <w:rsid w:val="00564DB6"/>
    <w:rsid w:val="0057167D"/>
    <w:rsid w:val="005926F8"/>
    <w:rsid w:val="00593C66"/>
    <w:rsid w:val="005956E8"/>
    <w:rsid w:val="005A4A08"/>
    <w:rsid w:val="005C5279"/>
    <w:rsid w:val="005C5E4A"/>
    <w:rsid w:val="006179B7"/>
    <w:rsid w:val="00622BCA"/>
    <w:rsid w:val="00647168"/>
    <w:rsid w:val="0065213B"/>
    <w:rsid w:val="006A24ED"/>
    <w:rsid w:val="006C4BCC"/>
    <w:rsid w:val="006D38CD"/>
    <w:rsid w:val="006D7EC2"/>
    <w:rsid w:val="00716DCE"/>
    <w:rsid w:val="0076146E"/>
    <w:rsid w:val="00764725"/>
    <w:rsid w:val="00777239"/>
    <w:rsid w:val="00792EA2"/>
    <w:rsid w:val="007A2D46"/>
    <w:rsid w:val="007D1FD4"/>
    <w:rsid w:val="007E00E9"/>
    <w:rsid w:val="00811AAF"/>
    <w:rsid w:val="00840D13"/>
    <w:rsid w:val="00876E18"/>
    <w:rsid w:val="00880C29"/>
    <w:rsid w:val="008D0111"/>
    <w:rsid w:val="008D116E"/>
    <w:rsid w:val="008D5C70"/>
    <w:rsid w:val="008E2543"/>
    <w:rsid w:val="0090344C"/>
    <w:rsid w:val="009067BB"/>
    <w:rsid w:val="00924ADA"/>
    <w:rsid w:val="00937D4E"/>
    <w:rsid w:val="00953099"/>
    <w:rsid w:val="009577D3"/>
    <w:rsid w:val="00962122"/>
    <w:rsid w:val="009D1254"/>
    <w:rsid w:val="009D45B2"/>
    <w:rsid w:val="009D7B8D"/>
    <w:rsid w:val="009E4A31"/>
    <w:rsid w:val="00A36203"/>
    <w:rsid w:val="00A63376"/>
    <w:rsid w:val="00A64B45"/>
    <w:rsid w:val="00A901F8"/>
    <w:rsid w:val="00AB4786"/>
    <w:rsid w:val="00AB6753"/>
    <w:rsid w:val="00AD6566"/>
    <w:rsid w:val="00B57C51"/>
    <w:rsid w:val="00B866E9"/>
    <w:rsid w:val="00B9528B"/>
    <w:rsid w:val="00BA1995"/>
    <w:rsid w:val="00BC6E1B"/>
    <w:rsid w:val="00C07E04"/>
    <w:rsid w:val="00C10078"/>
    <w:rsid w:val="00C36140"/>
    <w:rsid w:val="00C621B8"/>
    <w:rsid w:val="00C737EF"/>
    <w:rsid w:val="00C754A7"/>
    <w:rsid w:val="00C95E16"/>
    <w:rsid w:val="00CD0308"/>
    <w:rsid w:val="00CD2772"/>
    <w:rsid w:val="00D5421E"/>
    <w:rsid w:val="00D72E76"/>
    <w:rsid w:val="00E04603"/>
    <w:rsid w:val="00E3263C"/>
    <w:rsid w:val="00E42EC5"/>
    <w:rsid w:val="00E67FD7"/>
    <w:rsid w:val="00E759E2"/>
    <w:rsid w:val="00E9720B"/>
    <w:rsid w:val="00EB6D11"/>
    <w:rsid w:val="00EB76CC"/>
    <w:rsid w:val="00ED52EC"/>
    <w:rsid w:val="00EE574D"/>
    <w:rsid w:val="00F27FAB"/>
    <w:rsid w:val="00F320FF"/>
    <w:rsid w:val="00F670B9"/>
    <w:rsid w:val="00FA177B"/>
    <w:rsid w:val="00FD09C7"/>
    <w:rsid w:val="00FE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422A8"/>
  <w15:docId w15:val="{E53FE222-1283-48A0-8E0E-B4F7E7C22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5170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055170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055170"/>
    <w:rPr>
      <w:kern w:val="0"/>
      <w:sz w:val="20"/>
      <w:szCs w:val="20"/>
      <w14:ligatures w14:val="none"/>
    </w:rPr>
  </w:style>
  <w:style w:type="character" w:styleId="a5">
    <w:name w:val="footnote reference"/>
    <w:basedOn w:val="a0"/>
    <w:uiPriority w:val="99"/>
    <w:semiHidden/>
    <w:unhideWhenUsed/>
    <w:rsid w:val="00055170"/>
    <w:rPr>
      <w:vertAlign w:val="superscript"/>
    </w:rPr>
  </w:style>
  <w:style w:type="paragraph" w:styleId="a6">
    <w:name w:val="List Paragraph"/>
    <w:basedOn w:val="a"/>
    <w:uiPriority w:val="34"/>
    <w:qFormat/>
    <w:rsid w:val="006179B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unhideWhenUsed/>
    <w:rsid w:val="006179B7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3D04FE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D04FE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D04FE"/>
    <w:rPr>
      <w:kern w:val="0"/>
      <w:sz w:val="20"/>
      <w:szCs w:val="20"/>
      <w14:ligatures w14:val="none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D04FE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D04FE"/>
    <w:rPr>
      <w:b/>
      <w:bCs/>
      <w:kern w:val="0"/>
      <w:sz w:val="20"/>
      <w:szCs w:val="20"/>
      <w14:ligatures w14:val="none"/>
    </w:rPr>
  </w:style>
  <w:style w:type="paragraph" w:styleId="ad">
    <w:name w:val="Balloon Text"/>
    <w:basedOn w:val="a"/>
    <w:link w:val="ae"/>
    <w:uiPriority w:val="99"/>
    <w:semiHidden/>
    <w:unhideWhenUsed/>
    <w:rsid w:val="003D04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3D04FE"/>
    <w:rPr>
      <w:rFonts w:ascii="Tahoma" w:hAnsi="Tahoma" w:cs="Tahoma"/>
      <w:kern w:val="0"/>
      <w:sz w:val="16"/>
      <w:szCs w:val="16"/>
      <w14:ligatures w14:val="none"/>
    </w:rPr>
  </w:style>
  <w:style w:type="character" w:styleId="af">
    <w:name w:val="FollowedHyperlink"/>
    <w:basedOn w:val="a0"/>
    <w:uiPriority w:val="99"/>
    <w:semiHidden/>
    <w:unhideWhenUsed/>
    <w:rsid w:val="00CD0308"/>
    <w:rPr>
      <w:color w:val="954F72" w:themeColor="followedHyperlink"/>
      <w:u w:val="single"/>
    </w:rPr>
  </w:style>
  <w:style w:type="table" w:styleId="af0">
    <w:name w:val="Table Grid"/>
    <w:basedOn w:val="a1"/>
    <w:uiPriority w:val="39"/>
    <w:rsid w:val="00EB6D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5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72846-C99A-4E68-903F-88CF0E128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2025-08-13T13:33:00Z</dcterms:created>
  <dcterms:modified xsi:type="dcterms:W3CDTF">2026-03-12T10:55:00Z</dcterms:modified>
</cp:coreProperties>
</file>