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b/>
          <w:sz w:val="26"/>
        </w:rPr>
        <w:t>Supplementary Table S1</w:t>
      </w:r>
    </w:p>
    <w:p>
      <w:pPr>
        <w:keepNext/>
      </w:pPr>
      <w:r>
        <w:t>Common-domain integrated BSDF results for the validation samples across eight spectral channels.</w:t>
      </w:r>
    </w:p>
    <w:p>
      <w:pPr>
        <w:keepNext/>
      </w:pPr>
      <w:r>
        <w:rPr>
          <w:sz w:val="21"/>
        </w:rPr>
        <w:t>Data series NEW_D1 processed data. Normal incidence; four BRDF tiles and four BTDF PMMA samples. All integrals are dimensionless.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8" w:type="dxa"/>
          <w:bottom w:w="48" w:type="dxa"/>
          <w:left w:w="75" w:type="dxa"/>
          <w:right w:w="75" w:type="dxa"/>
        </w:tblCellMar>
      </w:tblPr>
      <w:tblGrid>
        <w:gridCol w:w="1440"/>
        <w:gridCol w:w="749"/>
        <w:gridCol w:w="1008"/>
        <w:gridCol w:w="1613"/>
        <w:gridCol w:w="1613"/>
        <w:gridCol w:w="2693"/>
        <w:gridCol w:w="1109"/>
      </w:tblGrid>
      <w:tr>
        <w:trPr>
          <w:tblHeader w:val="true"/>
        </w:trPr>
        <w:tc>
          <w:tcPr>
            <w:tcW w:type="dxa" w:w="1440"/>
            <w:shd w:fill="E8E8E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sz w:val="19"/>
              </w:rPr>
              <w:t>Sample</w:t>
            </w:r>
          </w:p>
        </w:tc>
        <w:tc>
          <w:tcPr>
            <w:tcW w:type="dxa" w:w="749"/>
            <w:shd w:fill="E8E8E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sz w:val="19"/>
              </w:rPr>
              <w:t>BSDF</w:t>
            </w:r>
          </w:p>
        </w:tc>
        <w:tc>
          <w:tcPr>
            <w:tcW w:type="dxa" w:w="1008"/>
            <w:shd w:fill="E8E8E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sz w:val="19"/>
              </w:rPr>
              <w:t>Wavelength</w:t>
              <w:br/>
              <w:t>(nm)</w:t>
            </w:r>
          </w:p>
        </w:tc>
        <w:tc>
          <w:tcPr>
            <w:tcW w:type="dxa" w:w="1613"/>
            <w:shd w:fill="E8E8E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sz w:val="19"/>
              </w:rPr>
              <w:t>System</w:t>
              <w:br/>
            </w:r>
            <w:r>
              <w:rPr>
                <w:b/>
                <w:i/>
                <w:sz w:val="19"/>
              </w:rPr>
              <w:t>Q</w:t>
            </w:r>
            <w:r>
              <w:rPr>
                <w:b/>
                <w:sz w:val="19"/>
                <w:vertAlign w:val="subscript"/>
              </w:rPr>
              <w:t>CD, sys</w:t>
            </w:r>
            <w:r>
              <w:rPr>
                <w:b/>
                <w:sz w:val="19"/>
              </w:rPr>
            </w:r>
          </w:p>
        </w:tc>
        <w:tc>
          <w:tcPr>
            <w:tcW w:type="dxa" w:w="1613"/>
            <w:shd w:fill="E8E8E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sz w:val="19"/>
              </w:rPr>
              <w:t>Reference</w:t>
              <w:br/>
            </w:r>
            <w:r>
              <w:rPr>
                <w:b/>
                <w:i/>
                <w:sz w:val="19"/>
              </w:rPr>
              <w:t>Q</w:t>
            </w:r>
            <w:r>
              <w:rPr>
                <w:b/>
                <w:sz w:val="19"/>
                <w:vertAlign w:val="subscript"/>
              </w:rPr>
              <w:t>CD, ref</w:t>
            </w:r>
            <w:r>
              <w:rPr>
                <w:b/>
                <w:sz w:val="19"/>
              </w:rPr>
            </w:r>
          </w:p>
        </w:tc>
        <w:tc>
          <w:tcPr>
            <w:tcW w:type="dxa" w:w="2693"/>
            <w:shd w:fill="E8E8E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sz w:val="19"/>
              </w:rPr>
              <w:t>Signed relative</w:t>
              <w:br/>
              <w:t>discrepancy (%)</w:t>
            </w:r>
          </w:p>
        </w:tc>
        <w:tc>
          <w:tcPr>
            <w:tcW w:type="dxa" w:w="1109"/>
            <w:shd w:fill="E8E8E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sz w:val="19"/>
              </w:rPr>
              <w:t>Low signal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0.033312421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0.036757436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-9.3723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0.027496987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0.028138236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-2.2789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0.030426474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0.02922143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+4.1238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0.036062008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0.029974522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+20.3089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0.034647852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0.03566702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-2.8575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0.12990241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0.11762443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+10.4383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0.54355099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0.52940965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+2.6712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0.58095615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0.57868792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+0.3920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0.039271457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0.049587219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-20.8033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0.025971821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0.027642418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-6.0436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0.034176345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0.033016934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+3.5116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0.065848377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0.074557662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-11.6813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0.093529875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0.087640572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+6.7198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0.039449105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0.046474563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-15.1168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0.04406058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0.046643161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-5.5369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0.065712782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0.06914104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-4.9584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0.084576205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0.088403781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-4.3297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0.12035359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0.11733655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+2.5713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0.26449043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0.21761572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+21.5401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0.43538969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0.43605651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-0.1529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0.5621886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0.56358128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-0.2471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0.58515678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0.58397556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+0.2023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0.59632737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0.59753225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-0.2016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0.59643184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0.59998679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-0.5925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0.34828502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0.35752707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-2.5850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0.36807311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0.37004666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-0.5333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0.32074253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0.33653682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-4.6932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0.26146031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0.25711416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+1.6904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0.17976846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0.17332443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+3.7179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0.11255422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0.12108892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-7.0483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0.092789694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0.093525234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-0.7865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0.098998242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0.10028924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-1.2873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0.37822705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0.3687774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+2.5624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0.5052958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0.45097991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+12.0440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0.52012377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0.47594946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+9.2813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0.5124331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0.47984769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+6.7908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0.43687344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0.42081081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+3.8171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0.30841192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0.33415746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-7.7046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0.28327135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0.29670483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-4.5276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0.31528455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0.3251162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-3.0240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0.040773316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0.049663798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-17.9013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0.063787655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0.065057964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-1.9526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0.1209878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0.11274108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+7.3147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0.2699544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0.28403765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-4.9582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0.44789856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0.413345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+8.3595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0.35014721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0.3632542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-3.6082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0.26568301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0.277478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-4.2508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0.27594889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0.28840276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-4.3182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0.18700823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0.19423999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-3.7231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0.20901065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0.20840196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+0.2921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0.24128977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0.23323609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+3.4530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0.33345355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0.33972456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-1.8459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0.49661351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0.45867786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+8.2707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0.52936882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0.48273022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+9.6614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0.54254112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0.49865103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+8.8018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0.54830907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0.50547124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+8.4748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0.002248884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0.013632853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-83.5039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0.00025222042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0.0073928493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-96.5883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0.0031441119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0.0056974492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-44.8154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0.0036449233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0.0038186628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-4.5497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-0.00035196306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0.0031520405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-111.1662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0.024953908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0.02816128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-11.3893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0.31742006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0.29314764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+8.2799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0.39235217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0.36544367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+7.3632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</w:tbl>
    <w:p>
      <w:pPr>
        <w:spacing w:before="140"/>
      </w:pPr>
      <w:r>
        <w:rPr>
          <w:b/>
        </w:rPr>
        <w:t>Table notes</w:t>
      </w:r>
    </w:p>
    <w:p>
      <w:r>
        <w:rPr>
          <w:sz w:val="19"/>
        </w:rPr>
        <w:t>The integration uses the same sample–channel validity mask for the system and reference within 10° ≤ θ ≤ 70°, with cos(θ) dΩ weights. No normalization to a full hemisphere is applied. The reference azimuthal distribution is reconstructed from principal-plane scans under the normal-incidence rotational-symmetry approximation for diffuse samples.</w:t>
      </w:r>
    </w:p>
    <w:p>
      <w:r>
        <w:rPr>
          <w:sz w:val="19"/>
        </w:rPr>
        <w:t>The signed relative discrepancy in each row is 100 × (</w:t>
      </w:r>
      <w:r>
        <w:rPr>
          <w:sz w:val="19"/>
        </w:rPr>
      </w:r>
      <w:r>
        <w:rPr>
          <w:i/>
          <w:sz w:val="19"/>
        </w:rPr>
        <w:t>Q</w:t>
      </w:r>
      <w:r>
        <w:rPr>
          <w:sz w:val="19"/>
          <w:vertAlign w:val="subscript"/>
        </w:rPr>
        <w:t>CD, sys</w:t>
      </w:r>
      <w:r>
        <w:rPr>
          <w:sz w:val="19"/>
        </w:rPr>
      </w:r>
      <w:r>
        <w:rPr>
          <w:sz w:val="19"/>
        </w:rPr>
        <w:t xml:space="preserve"> / </w:t>
      </w:r>
      <w:r>
        <w:rPr>
          <w:sz w:val="19"/>
        </w:rPr>
      </w:r>
      <w:r>
        <w:rPr>
          <w:i/>
          <w:sz w:val="19"/>
        </w:rPr>
        <w:t>Q</w:t>
      </w:r>
      <w:r>
        <w:rPr>
          <w:sz w:val="19"/>
          <w:vertAlign w:val="subscript"/>
        </w:rPr>
        <w:t>CD, ref</w:t>
      </w:r>
      <w:r>
        <w:rPr>
          <w:sz w:val="19"/>
        </w:rPr>
      </w:r>
      <w:r>
        <w:rPr>
          <w:sz w:val="19"/>
        </w:rPr>
        <w:t xml:space="preserve"> − 1). Positive values indicate a larger system integral. The source permits this ratio only when |</w:t>
      </w:r>
      <w:r>
        <w:rPr>
          <w:sz w:val="19"/>
        </w:rPr>
      </w:r>
      <w:r>
        <w:rPr>
          <w:i/>
          <w:sz w:val="19"/>
        </w:rPr>
        <w:t>Q</w:t>
      </w:r>
      <w:r>
        <w:rPr>
          <w:sz w:val="19"/>
          <w:vertAlign w:val="subscript"/>
        </w:rPr>
        <w:t>CD, ref</w:t>
      </w:r>
      <w:r>
        <w:rPr>
          <w:sz w:val="19"/>
        </w:rPr>
      </w:r>
      <w:r>
        <w:rPr>
          <w:sz w:val="19"/>
        </w:rPr>
        <w:t>| &gt; 10⁻¹²; all 64 rows meet that criterion. Signed system integrals, including negative low-signal estimates, are retained.</w:t>
      </w:r>
    </w:p>
    <w:p>
      <w:r>
        <w:rPr>
          <w:sz w:val="19"/>
        </w:rPr>
        <w:t>The signal-weighted absolute discrepancy for any group is E = 100 × Σ|</w:t>
      </w:r>
      <w:r>
        <w:rPr>
          <w:sz w:val="19"/>
        </w:rPr>
      </w:r>
      <w:r>
        <w:rPr>
          <w:i/>
          <w:sz w:val="19"/>
        </w:rPr>
        <w:t>Q</w:t>
      </w:r>
      <w:r>
        <w:rPr>
          <w:sz w:val="19"/>
          <w:vertAlign w:val="subscript"/>
        </w:rPr>
        <w:t>CD, sys</w:t>
      </w:r>
      <w:r>
        <w:rPr>
          <w:sz w:val="19"/>
        </w:rPr>
      </w:r>
      <w:r>
        <w:rPr>
          <w:sz w:val="19"/>
        </w:rPr>
        <w:t xml:space="preserve"> − </w:t>
      </w:r>
      <w:r>
        <w:rPr>
          <w:sz w:val="19"/>
        </w:rPr>
      </w:r>
      <w:r>
        <w:rPr>
          <w:i/>
          <w:sz w:val="19"/>
        </w:rPr>
        <w:t>Q</w:t>
      </w:r>
      <w:r>
        <w:rPr>
          <w:sz w:val="19"/>
          <w:vertAlign w:val="subscript"/>
        </w:rPr>
        <w:t>CD, ref</w:t>
      </w:r>
      <w:r>
        <w:rPr>
          <w:sz w:val="19"/>
        </w:rPr>
      </w:r>
      <w:r>
        <w:rPr>
          <w:sz w:val="19"/>
        </w:rPr>
        <w:t>| / Σ|</w:t>
      </w:r>
      <w:r>
        <w:rPr>
          <w:sz w:val="19"/>
        </w:rPr>
      </w:r>
      <w:r>
        <w:rPr>
          <w:i/>
          <w:sz w:val="19"/>
        </w:rPr>
        <w:t>Q</w:t>
      </w:r>
      <w:r>
        <w:rPr>
          <w:sz w:val="19"/>
          <w:vertAlign w:val="subscript"/>
        </w:rPr>
        <w:t>CD, ref</w:t>
      </w:r>
      <w:r>
        <w:rPr>
          <w:sz w:val="19"/>
        </w:rPr>
      </w:r>
      <w:r>
        <w:rPr>
          <w:sz w:val="19"/>
        </w:rPr>
        <w:t>|. It is not the arithmetic mean of the signed row percentages. All cases, including the low-signal flags, enter these sums. BRDF: 2.81% (32 cases); BTDF: 6.74% (32 cases); aggregate: 5.00% (64 cases).</w:t>
      </w:r>
    </w:p>
    <w:p>
      <w:r>
        <w:rPr>
          <w:sz w:val="19"/>
        </w:rPr>
        <w:t>“Yes” marks the six prior low-signal cases. Cells below the earlier 20.5 DN criterion account for at least 50% of the original-domain cos(θ) dΩ weight. All flagged cases enter the aggregate calculations.</w:t>
      </w:r>
    </w:p>
    <w:p>
      <w:r>
        <w:rPr>
          <w:sz w:val="19"/>
        </w:rPr>
        <w:t>The system common-domain integrals are reported after denoising and other data processing (NEW_D1 processed data), alongside the reference integrals. Full-precision values, low-signal flags and source hashes accompany the table in CSV and README files.</w:t>
      </w:r>
    </w:p>
    <w:sectPr w:rsidR="00FC693F" w:rsidRPr="0006063C" w:rsidSect="00034616">
      <w:footerReference w:type="default" r:id="rId9"/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Supplementary Table S1 · NEW_D1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