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ind w:left="10.55999755859375" w:firstLine="0"/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</w:rPr>
        <w:drawing>
          <wp:inline distB="114300" distT="114300" distL="114300" distR="114300">
            <wp:extent cx="2783904" cy="278390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83904" cy="27839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widowControl w:val="0"/>
        <w:spacing w:line="242" w:lineRule="auto"/>
        <w:ind w:left="1544" w:right="1543" w:firstLine="0"/>
        <w:jc w:val="center"/>
        <w:rPr>
          <w:color w:val="000000"/>
        </w:rPr>
      </w:pPr>
      <w:bookmarkStart w:colFirst="0" w:colLast="0" w:name="_klh1q9qdr5di" w:id="0"/>
      <w:bookmarkEnd w:id="0"/>
      <w:r w:rsidDel="00000000" w:rsidR="00000000" w:rsidRPr="00000000">
        <w:rPr>
          <w:color w:val="000000"/>
          <w:rtl w:val="0"/>
        </w:rPr>
        <w:t xml:space="preserve">Pontificia Universidad Javeriana Facultad de Ingeniería Departamento de Ingeniería de Sistemas</w:t>
      </w:r>
    </w:p>
    <w:p w:rsidR="00000000" w:rsidDel="00000000" w:rsidP="00000000" w:rsidRDefault="00000000" w:rsidRPr="00000000" w14:paraId="00000003">
      <w:pPr>
        <w:widowControl w:val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5"/>
        <w:widowControl w:val="0"/>
        <w:shd w:fill="ffffff" w:val="clear"/>
        <w:spacing w:after="40" w:line="288" w:lineRule="auto"/>
        <w:ind w:left="0" w:right="1544" w:firstLine="0"/>
        <w:jc w:val="center"/>
        <w:rPr>
          <w:b w:val="1"/>
          <w:bCs w:val="1"/>
          <w:color w:val="212529"/>
          <w:sz w:val="34"/>
          <w:szCs w:val="34"/>
        </w:rPr>
      </w:pPr>
      <w:bookmarkStart w:colFirst="0" w:colLast="0" w:name="_ypv47ncfjce7" w:id="1"/>
      <w:bookmarkEnd w:id="1"/>
      <w:r w:rsidDel="00000000" w:rsidR="00000000" w:rsidRPr="00000000">
        <w:rPr>
          <w:b w:val="1"/>
          <w:bCs w:val="1"/>
          <w:color w:val="212529"/>
          <w:sz w:val="34"/>
          <w:szCs w:val="34"/>
          <w:rtl w:val="0"/>
        </w:rPr>
        <w:t xml:space="preserve">               </w:t>
      </w:r>
      <w:r w:rsidDel="00000000" w:rsidR="00000000" w:rsidRPr="00000000">
        <w:rPr>
          <w:b w:val="1"/>
          <w:bCs w:val="1"/>
          <w:color w:val="212529"/>
          <w:sz w:val="34"/>
          <w:szCs w:val="34"/>
          <w:rtl w:val="0"/>
        </w:rPr>
        <w:t xml:space="preserve">Fundamentos Ingeniería de SW</w:t>
      </w:r>
    </w:p>
    <w:p w:rsidR="00000000" w:rsidDel="00000000" w:rsidP="00000000" w:rsidRDefault="00000000" w:rsidRPr="00000000" w14:paraId="00000005">
      <w:pPr>
        <w:pStyle w:val="Title"/>
        <w:widowControl w:val="0"/>
        <w:ind w:left="1544" w:right="1544" w:firstLine="0"/>
        <w:jc w:val="center"/>
        <w:rPr>
          <w:b w:val="1"/>
          <w:bCs w:val="1"/>
          <w:sz w:val="34"/>
          <w:szCs w:val="34"/>
        </w:rPr>
      </w:pPr>
      <w:bookmarkStart w:colFirst="0" w:colLast="0" w:name="_nvna1ecdmgr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5"/>
        <w:widowControl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40" w:line="288" w:lineRule="auto"/>
        <w:jc w:val="center"/>
        <w:rPr>
          <w:b w:val="1"/>
          <w:bCs w:val="1"/>
          <w:i w:val="1"/>
          <w:iCs w:val="1"/>
          <w:color w:val="000000"/>
          <w:sz w:val="34"/>
          <w:szCs w:val="34"/>
        </w:rPr>
      </w:pPr>
      <w:bookmarkStart w:colFirst="0" w:colLast="0" w:name="_ksq936y6w6sl" w:id="3"/>
      <w:bookmarkEnd w:id="3"/>
      <w:r w:rsidDel="00000000" w:rsidR="00000000" w:rsidRPr="00000000">
        <w:rPr>
          <w:b w:val="1"/>
          <w:bCs w:val="1"/>
          <w:color w:val="212529"/>
          <w:sz w:val="34"/>
          <w:szCs w:val="34"/>
          <w:rtl w:val="0"/>
        </w:rPr>
        <w:t xml:space="preserve">Fundamentos Ingeniería de SW: </w:t>
      </w:r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Propuesta del Proyecto y Requisitos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widowControl w:val="0"/>
        <w:spacing w:line="242" w:lineRule="auto"/>
        <w:ind w:left="2880" w:right="3251" w:firstLine="720"/>
        <w:rPr>
          <w:color w:val="000000"/>
        </w:rPr>
      </w:pPr>
      <w:bookmarkStart w:colFirst="0" w:colLast="0" w:name="_462ijrxiynoo" w:id="4"/>
      <w:bookmarkEnd w:id="4"/>
      <w:r w:rsidDel="00000000" w:rsidR="00000000" w:rsidRPr="00000000">
        <w:rPr>
          <w:color w:val="000000"/>
          <w:rtl w:val="0"/>
        </w:rPr>
        <w:t xml:space="preserve"> </w:t>
        <w:tab/>
      </w:r>
    </w:p>
    <w:p w:rsidR="00000000" w:rsidDel="00000000" w:rsidP="00000000" w:rsidRDefault="00000000" w:rsidRPr="00000000" w14:paraId="0000000A">
      <w:pPr>
        <w:pStyle w:val="Heading3"/>
        <w:widowControl w:val="0"/>
        <w:spacing w:line="242" w:lineRule="auto"/>
        <w:ind w:right="3251"/>
        <w:rPr>
          <w:b w:val="1"/>
          <w:bCs w:val="1"/>
          <w:color w:val="000000"/>
        </w:rPr>
      </w:pPr>
      <w:bookmarkStart w:colFirst="0" w:colLast="0" w:name="_dqznxhloup25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widowControl w:val="0"/>
        <w:spacing w:line="242" w:lineRule="auto"/>
        <w:ind w:left="3600" w:right="3251" w:firstLine="720"/>
        <w:rPr>
          <w:b w:val="1"/>
          <w:bCs w:val="1"/>
          <w:color w:val="000000"/>
        </w:rPr>
      </w:pPr>
      <w:bookmarkStart w:colFirst="0" w:colLast="0" w:name="_gjjr8hsd2o38" w:id="6"/>
      <w:bookmarkEnd w:id="6"/>
      <w:r w:rsidDel="00000000" w:rsidR="00000000" w:rsidRPr="00000000">
        <w:rPr>
          <w:b w:val="1"/>
          <w:bCs w:val="1"/>
          <w:color w:val="000000"/>
          <w:rtl w:val="0"/>
        </w:rPr>
        <w:t xml:space="preserve">Autores:</w:t>
      </w:r>
    </w:p>
    <w:p w:rsidR="00000000" w:rsidDel="00000000" w:rsidP="00000000" w:rsidRDefault="00000000" w:rsidRPr="00000000" w14:paraId="0000000C">
      <w:pPr>
        <w:spacing w:after="160" w:lineRule="auto"/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David Esteban Álvarez</w:t>
      </w:r>
    </w:p>
    <w:p w:rsidR="00000000" w:rsidDel="00000000" w:rsidP="00000000" w:rsidRDefault="00000000" w:rsidRPr="00000000" w14:paraId="0000000D">
      <w:pPr>
        <w:spacing w:after="160" w:lineRule="auto"/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David Andres Galindo</w:t>
      </w:r>
    </w:p>
    <w:p w:rsidR="00000000" w:rsidDel="00000000" w:rsidP="00000000" w:rsidRDefault="00000000" w:rsidRPr="00000000" w14:paraId="0000000E">
      <w:pPr>
        <w:spacing w:after="160" w:lineRule="auto"/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Miguel Ángel Gómez</w:t>
      </w:r>
    </w:p>
    <w:p w:rsidR="00000000" w:rsidDel="00000000" w:rsidP="00000000" w:rsidRDefault="00000000" w:rsidRPr="00000000" w14:paraId="0000000F">
      <w:pPr>
        <w:spacing w:after="160" w:lineRule="auto"/>
        <w:jc w:val="center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Juan Sebastían Martínez</w:t>
      </w:r>
    </w:p>
    <w:p w:rsidR="00000000" w:rsidDel="00000000" w:rsidP="00000000" w:rsidRDefault="00000000" w:rsidRPr="00000000" w14:paraId="00000010">
      <w:pPr>
        <w:spacing w:after="160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widowControl w:val="0"/>
        <w:ind w:left="1544" w:right="1544" w:firstLine="0"/>
        <w:jc w:val="center"/>
        <w:rPr>
          <w:color w:val="000000"/>
        </w:rPr>
      </w:pPr>
      <w:bookmarkStart w:colFirst="0" w:colLast="0" w:name="_onijatjnul3z" w:id="7"/>
      <w:bookmarkEnd w:id="7"/>
      <w:r w:rsidDel="00000000" w:rsidR="00000000" w:rsidRPr="00000000">
        <w:rPr>
          <w:color w:val="000000"/>
          <w:rtl w:val="0"/>
        </w:rPr>
        <w:t xml:space="preserve">Bogotá D.C.</w:t>
      </w:r>
    </w:p>
    <w:p w:rsidR="00000000" w:rsidDel="00000000" w:rsidP="00000000" w:rsidRDefault="00000000" w:rsidRPr="00000000" w14:paraId="00000013">
      <w:pPr>
        <w:pStyle w:val="Heading3"/>
        <w:widowControl w:val="0"/>
        <w:spacing w:before="3" w:lineRule="auto"/>
        <w:ind w:left="1544" w:right="1544" w:firstLine="0"/>
        <w:jc w:val="center"/>
        <w:rPr/>
      </w:pPr>
      <w:bookmarkStart w:colFirst="0" w:colLast="0" w:name="_5yhk6fnnt8h6" w:id="8"/>
      <w:bookmarkEnd w:id="8"/>
      <w:r w:rsidDel="00000000" w:rsidR="00000000" w:rsidRPr="00000000">
        <w:rPr>
          <w:color w:val="000000"/>
          <w:rtl w:val="0"/>
        </w:rPr>
        <w:t xml:space="preserve">10 de Septiembre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4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spacing w:after="150" w:before="300" w:lineRule="auto"/>
        <w:rPr/>
      </w:pPr>
      <w:r w:rsidDel="00000000" w:rsidR="00000000" w:rsidRPr="00000000">
        <w:rPr>
          <w:rtl w:val="0"/>
        </w:rPr>
        <w:t xml:space="preserve">1. Propuesta del Proyecto — Lean Canvas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El sistema surge para resolver la dispersión de la información y la dificultad de seguimiento a los planes de acción institucionales mediante una plataforma digital centralizada. A continuación se presenta el modelo de negocio consolidado en formato Lean Canvas.</w:t>
      </w: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6950"/>
        <w:tblGridChange w:id="0">
          <w:tblGrid>
            <w:gridCol w:w="2400"/>
            <w:gridCol w:w="6950"/>
          </w:tblGrid>
        </w:tblGridChange>
      </w:tblGrid>
      <w:tr>
        <w:trPr>
          <w:cantSplit w:val="0"/>
          <w:tblHeader w:val="0"/>
        </w:trPr>
        <w:tc>
          <w:tcPr>
            <w:shd w:fill="2f3b52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Bloque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3b52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Dispersión de la información institucional; tiempo excesivo en tareas manuales; dificultad para hacer seguimiento adecuado a los planes de acción.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Solución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Plataforma digital que centraliza el registro, cargue documental, seguimiento y generación de reportes de los planes de acción.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Propuesta de Valor Única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 de información orientado a la formulación, seguimiento, cargue de documentos de soporte y generación automática de reportes de cumplimiento de los planes de acción.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Ventaja Especial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Sistema especializado (no una hoja de cálculo genérica) para la gestión de planes institucionales, con reportes automáticos e indicadores actualizados en tiempo real.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Segmento de Clientes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Entidades públicas, instituciones académicas, oficinas de calidad y coordinadores de procesos.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Alternativas Actuales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Excel, Google Sheets, Word, Google Drive, archivos físicos y correo electrónico.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Métricas Clave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Número de planes de acción activos; porcentaje de actividades cumplidas; tiempo de generación de reportes.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Páginas web institucionales, correo institucional, capacitaciones internas.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Early Adopters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Oficinas de calidad, instituciones "manuales", coordinadores de procesos, directores administrativos.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Estructura de Costos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del software, infraestructura, alojamiento en la nube, mantenimiento y soporte, actualizaciones, seguridad.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Flujo de Ingresos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Licenciamiento por institución, suscripción mensual/anual, servicios de implementación, recursos del área de TI, financiación institucional.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spacing w:after="150" w:before="300" w:lineRule="auto"/>
        <w:rPr/>
      </w:pPr>
      <w:r w:rsidDel="00000000" w:rsidR="00000000" w:rsidRPr="00000000">
        <w:rPr>
          <w:rtl w:val="0"/>
        </w:rPr>
        <w:t xml:space="preserve">2. Requisitos Funcionales</w:t>
      </w:r>
    </w:p>
    <w:p w:rsidR="00000000" w:rsidDel="00000000" w:rsidP="00000000" w:rsidRDefault="00000000" w:rsidRPr="00000000" w14:paraId="00000032">
      <w:pPr>
        <w:pStyle w:val="Heading2"/>
        <w:spacing w:after="100" w:before="200" w:lineRule="auto"/>
        <w:rPr/>
      </w:pPr>
      <w:r w:rsidDel="00000000" w:rsidR="00000000" w:rsidRPr="00000000">
        <w:rPr>
          <w:rtl w:val="0"/>
        </w:rPr>
        <w:t xml:space="preserve">2.1 Backlog Consolidado de Historias de Usuario</w:t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Backlog refinado y priorizado (22 historias), resultante de la división de HU-012 y HU-014 en pares independientes tras la revisión INVEST y la retroalimentación cruzada del equipo.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5350"/>
        <w:gridCol w:w="1400"/>
        <w:gridCol w:w="1400"/>
        <w:tblGridChange w:id="0">
          <w:tblGrid>
            <w:gridCol w:w="1200"/>
            <w:gridCol w:w="5350"/>
            <w:gridCol w:w="1400"/>
            <w:gridCol w:w="1400"/>
          </w:tblGrid>
        </w:tblGridChange>
      </w:tblGrid>
      <w:tr>
        <w:trPr>
          <w:cantSplit w:val="0"/>
          <w:tblHeader w:val="0"/>
        </w:trPr>
        <w:tc>
          <w:tcPr>
            <w:shd w:fill="2f3b52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3b52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3b52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3b52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Esfuerzo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Login en 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 de un nuevo plan de 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Carga de evidencias documentales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Seguimiento de avance de actividades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Notificaciones de vencimiento de actividades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Autenticación y control de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Pruebas de validación del módulo de informes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Administración y asignación de roles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Configuración general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Gestión de la estructura organizacional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Exportación de planes de acción a PDF y Excel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HU-012a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Visualización del tablero Kanban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HU-012b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Actualización de estado por arrastre en el Kanban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Historial de auditoría y trazabilidad de cambios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HU-014a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Informe consolidado de cumplimiento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HU-014b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Drill-down del informe gerencial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Notificaciones por correo electrónico y alertas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Búsqueda avanzada y filtrado de evidencias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Aprobación y retroalimentación de planes de 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Recuperación y restablecimiento de contraseña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Gestión de versiones y actualización de evidencias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HU-020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Cierre y evaluación final de planes de 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Bajo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00" w:before="200" w:lineRule="auto"/>
        <w:rPr/>
      </w:pPr>
      <w:r w:rsidDel="00000000" w:rsidR="00000000" w:rsidRPr="00000000">
        <w:rPr>
          <w:rtl w:val="0"/>
        </w:rPr>
        <w:t xml:space="preserve">2.2 Casos de Uso Principales</w:t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A continuación se detallan los tres casos de uso principales del sistema, correspondientes al flujo central de formulación, evidencia y seguimiento de los planes de acción.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00" w:before="200" w:lineRule="auto"/>
        <w:rPr/>
      </w:pPr>
      <w:r w:rsidDel="00000000" w:rsidR="00000000" w:rsidRPr="00000000">
        <w:rPr>
          <w:rtl w:val="0"/>
        </w:rPr>
        <w:t xml:space="preserve">CU-01. Registro de un Plan de Acción</w:t>
      </w:r>
    </w:p>
    <w:p w:rsidR="00000000" w:rsidDel="00000000" w:rsidP="00000000" w:rsidRDefault="00000000" w:rsidRPr="00000000" w14:paraId="00000094">
      <w:pPr>
        <w:spacing w:after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Actor principal: </w:t>
      </w:r>
      <w:r w:rsidDel="00000000" w:rsidR="00000000" w:rsidRPr="00000000">
        <w:rPr>
          <w:sz w:val="22"/>
          <w:szCs w:val="22"/>
          <w:rtl w:val="0"/>
        </w:rPr>
        <w:t xml:space="preserve">Coordinador de Procesos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Precondiciones: </w:t>
      </w:r>
      <w:r w:rsidDel="00000000" w:rsidR="00000000" w:rsidRPr="00000000">
        <w:rPr>
          <w:sz w:val="22"/>
          <w:szCs w:val="22"/>
          <w:rtl w:val="0"/>
        </w:rPr>
        <w:t xml:space="preserve">El usuario ha iniciado sesión con un rol que tiene permiso para crear planes de acción (HU-002, HU-006).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40" w:before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Flujo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1. El coordinador selecciona la opción "Nuevo plan de acción".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2. El sistema presenta el formulario de registro (objetivos, fechas, área responsable).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3. El coordinador diligencia los campos obligatorios y confirma el guardado.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4. El sistema valida la información, asigna un código único al plan y lo registra con estado "En borrador".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5. El sistema muestra un mensaje de confirmación y ubica el plan en el listado del área.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40" w:before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Flujos alternativos / excepciones: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faltan campos obligatorios, el sistema resalta los campos pendientes y no guarda el plan (HU-002).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director de área devuelve el plan con observaciones, este regresa a estado "En borrador" para ajustes (HU-017).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00" w:before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Postcondición: </w:t>
      </w:r>
      <w:r w:rsidDel="00000000" w:rsidR="00000000" w:rsidRPr="00000000">
        <w:rPr>
          <w:sz w:val="22"/>
          <w:szCs w:val="22"/>
          <w:rtl w:val="0"/>
        </w:rPr>
        <w:t xml:space="preserve">Queda registrado un nuevo plan de acción con código único, trazable y asociado a un área, listo para iniciar el cargue de evidencias y el seguimiento.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spacing w:after="100" w:before="200" w:lineRule="auto"/>
        <w:rPr/>
      </w:pPr>
      <w:r w:rsidDel="00000000" w:rsidR="00000000" w:rsidRPr="00000000">
        <w:rPr>
          <w:rtl w:val="0"/>
        </w:rPr>
        <w:t xml:space="preserve">CU-02. Carga de Evidencias Documentales</w:t>
      </w:r>
    </w:p>
    <w:p w:rsidR="00000000" w:rsidDel="00000000" w:rsidP="00000000" w:rsidRDefault="00000000" w:rsidRPr="00000000" w14:paraId="000000A1">
      <w:pPr>
        <w:spacing w:after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Actor principal: </w:t>
      </w:r>
      <w:r w:rsidDel="00000000" w:rsidR="00000000" w:rsidRPr="00000000">
        <w:rPr>
          <w:sz w:val="22"/>
          <w:szCs w:val="22"/>
          <w:rtl w:val="0"/>
        </w:rPr>
        <w:t xml:space="preserve">Responsable de Actividad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Precondiciones: </w:t>
      </w:r>
      <w:r w:rsidDel="00000000" w:rsidR="00000000" w:rsidRPr="00000000">
        <w:rPr>
          <w:sz w:val="22"/>
          <w:szCs w:val="22"/>
          <w:rtl w:val="0"/>
        </w:rPr>
        <w:t xml:space="preserve">Existe un plan de acción con al menos una actividad registrada, y el usuario tiene permisos sobre esa actividad.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40" w:before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Flujo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1. El responsable selecciona la actividad a la que quiere adjuntar soporte.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2. El sistema presenta la opción de cargar archivo.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3. El responsable selecciona el archivo (máximo 20 MB, formato permitido) y confirma la carga.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4. El sistema valida tamaño y formato, y almacena la evidencia asociada a la actividad.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5. El sistema actualiza el historial de auditoría con el registro de la carga (HU-013).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40" w:before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Flujos alternativos / excepciones: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archivo excede 20 MB o el formato no está permitido, el sistema rechaza la carga e informa el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ya existe una evidencia previa para la actividad, el sistema ofrece cargarla como nueva versión conservando el historial (HU-019).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00" w:before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Postcondición: </w:t>
      </w:r>
      <w:r w:rsidDel="00000000" w:rsidR="00000000" w:rsidRPr="00000000">
        <w:rPr>
          <w:sz w:val="22"/>
          <w:szCs w:val="22"/>
          <w:rtl w:val="0"/>
        </w:rPr>
        <w:t xml:space="preserve">La actividad queda con al menos un soporte documental válido, disponible para consulta, auditoría y como respaldo del avance reportado.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00" w:before="200" w:lineRule="auto"/>
        <w:rPr/>
      </w:pPr>
      <w:r w:rsidDel="00000000" w:rsidR="00000000" w:rsidRPr="00000000">
        <w:rPr>
          <w:rtl w:val="0"/>
        </w:rPr>
        <w:t xml:space="preserve">CU-03. Mover una Actividad en el Tablero Kanban</w:t>
      </w:r>
    </w:p>
    <w:p w:rsidR="00000000" w:rsidDel="00000000" w:rsidP="00000000" w:rsidRDefault="00000000" w:rsidRPr="00000000" w14:paraId="000000AE">
      <w:pPr>
        <w:spacing w:after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Actor principal: </w:t>
      </w:r>
      <w:r w:rsidDel="00000000" w:rsidR="00000000" w:rsidRPr="00000000">
        <w:rPr>
          <w:sz w:val="22"/>
          <w:szCs w:val="22"/>
          <w:rtl w:val="0"/>
        </w:rPr>
        <w:t xml:space="preserve">Coordinador de Procesos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Precondiciones: </w:t>
      </w:r>
      <w:r w:rsidDel="00000000" w:rsidR="00000000" w:rsidRPr="00000000">
        <w:rPr>
          <w:sz w:val="22"/>
          <w:szCs w:val="22"/>
          <w:rtl w:val="0"/>
        </w:rPr>
        <w:t xml:space="preserve">El coordinador ha accedido a la vista Kanban de un plan de acción con actividades clasificadas por estado (HU-012a).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40" w:before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Flujo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1. El sistema muestra las tarjetas de las actividades agrupadas en las columnas Por hacer, En proceso y Finalizado.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2. El coordinador arrastra una tarjeta desde su columna actual hacia la columna destino.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3. El sistema valida la regla de negocio asociada al nuevo estado.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4. El sistema actualiza el estado de la actividad y recalcula el porcentaje de avance general del plan (HU-004).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30" w:lineRule="auto"/>
        <w:rPr/>
      </w:pPr>
      <w:r w:rsidDel="00000000" w:rsidR="00000000" w:rsidRPr="00000000">
        <w:rPr>
          <w:sz w:val="22"/>
          <w:szCs w:val="22"/>
          <w:rtl w:val="0"/>
        </w:rPr>
        <w:t xml:space="preserve">5. El sistema registra el cambio de estado en el historial de auditoría (HU-013).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40" w:before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Flujos alternativos / excepciones: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la tarjeta se mueve a "Finalizado" y la actividad no tiene una evidencia documental cargada, el sistema bloquea el movimiento y notifica al usuario (regla validada por el Product Owner).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 el usuario no tiene permisos sobre esa actividad, el sistema no permite el arrastre.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before="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Postcondición: </w:t>
      </w:r>
      <w:r w:rsidDel="00000000" w:rsidR="00000000" w:rsidRPr="00000000">
        <w:rPr>
          <w:sz w:val="22"/>
          <w:szCs w:val="22"/>
          <w:rtl w:val="0"/>
        </w:rPr>
        <w:t xml:space="preserve">La actividad refleja su estado real de ejecución, el avance del plan queda recalculado y el cambio queda trazado en el historial.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1"/>
        <w:spacing w:after="150" w:before="300" w:lineRule="auto"/>
        <w:rPr/>
      </w:pPr>
      <w:r w:rsidDel="00000000" w:rsidR="00000000" w:rsidRPr="00000000">
        <w:rPr>
          <w:rtl w:val="0"/>
        </w:rPr>
        <w:t xml:space="preserve">3. Requisitos No Funcionales</w:t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i w:val="0"/>
          <w:iCs w:val="0"/>
          <w:sz w:val="22"/>
          <w:szCs w:val="22"/>
          <w:rtl w:val="0"/>
        </w:rPr>
        <w:t xml:space="preserve">Requisitos no funcionales agrupados por categoría, derivados de las reglas de negocio validadas por el Product Owner y de las características técnicas del sistema (Java 17, JavaFX, base de datos relacional).</w:t>
      </w: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00"/>
        <w:gridCol w:w="2100"/>
        <w:gridCol w:w="6150"/>
        <w:tblGridChange w:id="0">
          <w:tblGrid>
            <w:gridCol w:w="1100"/>
            <w:gridCol w:w="2100"/>
            <w:gridCol w:w="6150"/>
          </w:tblGrid>
        </w:tblGridChange>
      </w:tblGrid>
      <w:tr>
        <w:trPr>
          <w:cantSplit w:val="0"/>
          <w:tblHeader w:val="0"/>
        </w:trPr>
        <w:tc>
          <w:tcPr>
            <w:shd w:fill="2f3b52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3b52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3b52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tablero Kanban debe cargar hasta 200 actividades en menos de 3 segundos.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generación de un informe gerencial de cumplimiento (HU-014a) no debe exceder 5 segundos para consultas de hasta 12 meses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Las contraseñas deben almacenarse cifradas (hash con salt); nunca en texto plano.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enlace de restablecimiento de contraseña (HU-018) debe expirar a los 15 minutos o al primer uso.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controlar el acceso a cada módulo según el rol del usuario (HU-006), denegando por defecto lo no autorizado.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interfaz en JavaFX debe presentar mensajes de error y validación claros, en español, junto al campo correspondiente.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 usuario nuevo debe poder completar el registro de un plan de acción sin capacitación previa, en un máximo de 3 intentos.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Portabilidad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ejecutarse sobre Windows y Linux sin modificar el código fuente (Java LTS 17).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Portabilidad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capa de persistencia debe permitir migrar entre PostgreSQL y MySQL sin pérdida de integridad referencial.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Confiabilidad y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 cambio sobre un plan de acción o sus evidencias debe quedar registrado en el historial de auditoría, con valor anterior y nuevo (HU-013).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RNF-11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Confiabilidad y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debe garantizar una disponibilidad mínima del 99% durante el horario laboral (7:00 a.m. - 7:00 p.m.).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1"/>
        <w:spacing w:after="150" w:before="300" w:lineRule="auto"/>
        <w:rPr/>
      </w:pPr>
      <w:r w:rsidDel="00000000" w:rsidR="00000000" w:rsidRPr="00000000">
        <w:rPr>
          <w:rtl w:val="0"/>
        </w:rPr>
        <w:t xml:space="preserve">4. Anexo — Evidencia de GitHub Projects</w:t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Captura del tablero "KAMBAN_FIS_2630_GLOSFIS" que certifica el cumplimiento de los criterios de refinamiento, mostrando las 5 historias aprobadas y listas para inicio de desarrollo en la columna Ready (HU-006, HU-002, HU-003, HU-005 y HU-018), junto con el estado del backlog general.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05500" cy="235267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352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