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Автоматизация анализа архивных геолого-геофизических отчётов с применением больших языковых моделей</w:t>
      </w:r>
    </w:p>
    <w:p>
      <w:pPr>
        <w:spacing w:after="0"/>
        <w:jc w:val="center"/>
      </w:pPr>
      <w:r>
        <w:rPr>
          <w:b w:val="0"/>
          <w:i/>
          <w:sz w:val="24"/>
        </w:rPr>
        <w:t>Р.Р. Киямов1, [соавтор 2]1, [соавтор 3]1</w:t>
      </w:r>
    </w:p>
    <w:p>
      <w:pPr>
        <w:spacing w:after="0"/>
        <w:jc w:val="center"/>
      </w:pPr>
      <w:r>
        <w:rPr>
          <w:b w:val="0"/>
          <w:i w:val="0"/>
          <w:sz w:val="24"/>
        </w:rPr>
        <w:t>1 – [организация]</w:t>
      </w:r>
    </w:p>
    <w:p>
      <w:pPr>
        <w:spacing w:after="0"/>
        <w:jc w:val="center"/>
      </w:pPr>
      <w:r>
        <w:rPr>
          <w:b w:val="0"/>
          <w:i w:val="0"/>
          <w:sz w:val="24"/>
        </w:rPr>
        <w:t>E-mail: [e-mail]</w:t>
      </w:r>
    </w:p>
    <w:p>
      <w:pPr>
        <w:spacing w:after="120"/>
        <w:jc w:val="center"/>
      </w:pPr>
      <w:r>
        <w:rPr>
          <w:b w:val="0"/>
          <w:i w:val="0"/>
          <w:sz w:val="24"/>
        </w:rPr>
        <w:t>Телефон: [телефон]</w:t>
      </w:r>
    </w:p>
    <w:p>
      <w:pPr>
        <w:spacing w:after="0"/>
        <w:jc w:val="both"/>
      </w:pPr>
      <w:r>
        <w:rPr>
          <w:b/>
          <w:i w:val="0"/>
          <w:sz w:val="24"/>
        </w:rPr>
        <w:t>Аннотация</w:t>
      </w:r>
    </w:p>
    <w:p>
      <w:pPr>
        <w:spacing w:after="0"/>
        <w:ind w:firstLine="709"/>
        <w:jc w:val="both"/>
      </w:pPr>
      <w:r>
        <w:rPr>
          <w:b w:val="0"/>
          <w:i w:val="0"/>
          <w:sz w:val="24"/>
        </w:rPr>
        <w:t>Значительная часть геологической информации по изученным районам хранится в фондовых отчётах в виде сканированных документов: тексты, таблицы, структурные карты и разрезы недоступны для программной обработки. В работе предложена архитектура автоматизации анализа таких материалов на основе связки классических алгоритмов компьютерного зрения и OCR с большими языковыми моделями (LLM). Ключевой принцип: LLM не заменяет вычислительные методы, а выполняет функции, ранее требовавшие эксперта, — чтение и исправление распознанного текста, классификацию объектов, перекрёстный контроль качества между текстом отчёта и графическими приложениями. Архитектура включает базу знаний по текстам отчётов (retrieval-augmented generation, RAG), модуль извлечения структурированных данных и модуль обработки графики. Подход апробирован на отчёте сейсморазведочной партии 1980 г.: автоматически распознано оглавление графических приложений, на структурной карте выделено и классифицировано более 1000 текстовых объектов (отметки пикетов, подписи изогипс, номера профилей). Результаты экспортируются в открытые форматы GeoJSON/GeoPackage. Все компоненты допускают развёртывание на локальной инфраструктуре с открытыми весами моделей, что удовлетворяет требованиям работы с фондовой информацией.</w:t>
      </w:r>
    </w:p>
    <w:p>
      <w:pPr>
        <w:spacing w:after="0"/>
        <w:jc w:val="both"/>
      </w:pPr>
      <w:r>
        <w:rPr>
          <w:b/>
          <w:i w:val="0"/>
          <w:sz w:val="24"/>
        </w:rPr>
        <w:t>Ключевые слова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большие языковые модели, RAG, автоматизация, архивные отчёты, OCR, компьютерное зрение, структурные карты, GeoPackage</w:t>
      </w:r>
    </w:p>
    <w:p>
      <w:pPr>
        <w:spacing w:after="0"/>
        <w:ind w:firstLine="709"/>
        <w:jc w:val="both"/>
      </w:pPr>
      <w:r>
        <w:rPr>
          <w:b w:val="0"/>
          <w:i w:val="0"/>
          <w:sz w:val="24"/>
        </w:rPr>
        <w:t>Фонды геологической информации содержат десятки тысяч отчётов о геологоразведочных работах прошлых десятилетий. Для территорий с высокой степенью изученности эти материалы нередко являются единственным источником данных о строении разреза, однако существуют только в виде сканов: поиск ведётся вручную, а количественные данные (отметки горизонтов, результаты испытаний, параметры съёмок) повторно оцифровываются при каждом обращении. Задача автоматизации работы с такими документами приобретает практическую значимость в связи с развитием больших языковых и мультимодальных моделей.</w:t>
      </w:r>
    </w:p>
    <w:p>
      <w:pPr>
        <w:spacing w:after="0"/>
        <w:ind w:firstLine="709"/>
        <w:jc w:val="both"/>
      </w:pPr>
      <w:r>
        <w:rPr>
          <w:b w:val="0"/>
          <w:i w:val="0"/>
          <w:sz w:val="24"/>
        </w:rPr>
        <w:t>Прямое применение LLM к сканам карт показывает низкую точность локализации объектов, а классические системы векторизации, напротив, не справляются с семантикой: разрывы линий на подписях, наложение объектов, рукописные чертёжные шрифты. Предлагаемое решение разделяет функции (рисунок 1): детерминированные алгоритмы отвечают на вопрос «где» (детекция текстовых областей, линий, засечек средствами OpenCV), языковые модели — на вопрос «что» (чтение вырезанных фрагментов, классификация, исправление ошибок OCR по контексту), а правила и статистика листа выполняют контроль качества.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3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 w:val="0"/>
          <w:sz w:val="24"/>
        </w:rPr>
        <w:t>Рисунок 1 – Архитектура системы автоматизации</w:t>
      </w:r>
    </w:p>
    <w:p>
      <w:pPr>
        <w:spacing w:after="0"/>
        <w:ind w:firstLine="709"/>
        <w:jc w:val="both"/>
      </w:pPr>
      <w:r>
        <w:rPr>
          <w:b w:val="0"/>
          <w:i w:val="0"/>
          <w:sz w:val="24"/>
        </w:rPr>
        <w:t>Обработка отчёта начинается с оглавления: OCR (PaddleOCR) извлекает строки списка приложений, LLM исправляет характерные ошибки распознавания машинописи (замены I/1, пропуски символов) и типизирует приложения — карты, схемы, разрезы, таблицы [1, 2]. Далее агент-маршрутизатор направляет каждый лист в профильный модуль обработки.</w:t>
      </w:r>
    </w:p>
    <w:p>
      <w:pPr>
        <w:spacing w:after="0"/>
        <w:ind w:firstLine="709"/>
        <w:jc w:val="both"/>
      </w:pPr>
      <w:r>
        <w:rPr>
          <w:b w:val="0"/>
          <w:i w:val="0"/>
          <w:sz w:val="24"/>
        </w:rPr>
        <w:t>Тексты отчёта индексируются в базе знаний с гибридным поиском и моделью переранжирования; это обеспечивает ответы на вопросы по содержанию отчёта со ссылками на страницы и используется модулем контроля качества как источник эталонных сведений (число и названия структур, глубины горизонтов, параметры съёмки) [3].</w:t>
      </w:r>
    </w:p>
    <w:p>
      <w:pPr>
        <w:spacing w:after="0"/>
        <w:ind w:firstLine="709"/>
        <w:jc w:val="both"/>
      </w:pPr>
      <w:r>
        <w:rPr>
          <w:b w:val="0"/>
          <w:i w:val="0"/>
          <w:sz w:val="24"/>
        </w:rPr>
        <w:t>Для графических приложений применяется трёхуровневая схема. Сначала по статистике листа (распределению высот символов) выделяются текстовые области двух классов шрифта; на апробируемой структурной карте выделено 1088 объектов. Затем мультимодальная модель читает вырезанные фрагменты, а классификация выполняется по формату значения: отметки пикетов, подписи изогипс, номера сейсмопрофилей, скважины (рисунок 2). Контроль качества сопоставляет извлечённые значения с изогипсами, шагом сечения и данными текста отчёта; каждое замечание снабжается доказательством — страницей и фрагментом изображения.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et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 w:val="0"/>
          <w:sz w:val="24"/>
        </w:rPr>
        <w:t>Рисунок 2 – Фрагмент структурной карты: автоматическая детекция отметок пикетов (красный) и подписей изогипс (зелёный)</w:t>
      </w:r>
    </w:p>
    <w:p>
      <w:pPr>
        <w:spacing w:after="0"/>
        <w:ind w:firstLine="709"/>
        <w:jc w:val="both"/>
      </w:pPr>
      <w:r>
        <w:rPr>
          <w:b w:val="0"/>
          <w:i w:val="0"/>
          <w:sz w:val="24"/>
        </w:rPr>
        <w:t>Результаты извлечения экспортируются в GeoJSON/GeoPackage и загружаются в геоинформационные системы и пакеты интерпретации [4]. Поскольку фондовые материалы, как правило, не могут передаваться во внешние облачные сервисы, все компоненты системы — OCR, языковая и мультимодальная модели, база знаний — развёртываются на локальной инфраструктуре с использованием моделей с открытыми весами.</w:t>
      </w:r>
    </w:p>
    <w:p>
      <w:pPr>
        <w:spacing w:after="0"/>
        <w:ind w:firstLine="709"/>
        <w:jc w:val="both"/>
      </w:pPr>
      <w:r>
        <w:rPr>
          <w:b w:val="0"/>
          <w:i w:val="0"/>
          <w:sz w:val="24"/>
        </w:rPr>
        <w:t>Предложенная архитектура носит поэтапный характер: каждый модуль (поиск по текстам, извлечение табличных данных, обработка карт) имеет самостоятельную практическую ценность и измеримые метрики качества, что позволяет внедрять систему постепенно — от базы знаний по отчётам до полной оцифровки графических приложений с автоматическим контролем качества.</w:t>
      </w:r>
    </w:p>
    <w:p>
      <w:pPr>
        <w:spacing w:after="0"/>
        <w:jc w:val="both"/>
      </w:pPr>
      <w:r>
        <w:rPr>
          <w:b/>
          <w:i w:val="0"/>
          <w:sz w:val="24"/>
        </w:rPr>
        <w:t>Список литературы</w:t>
      </w:r>
    </w:p>
    <w:p>
      <w:pPr>
        <w:spacing w:after="0"/>
        <w:jc w:val="both"/>
      </w:pPr>
      <w:r>
        <w:rPr>
          <w:b w:val="0"/>
          <w:i w:val="0"/>
          <w:sz w:val="24"/>
        </w:rPr>
        <w:t>1. Li C., Liu W., Guo R. et al. PP-OCRv3: More Attempts for the Improvement of Ultra Lightweight OCR System // arXiv:2206.03001. 2022.</w:t>
      </w:r>
    </w:p>
    <w:p>
      <w:pPr>
        <w:spacing w:after="0"/>
        <w:jc w:val="both"/>
      </w:pPr>
      <w:r>
        <w:rPr>
          <w:b w:val="0"/>
          <w:i w:val="0"/>
          <w:sz w:val="24"/>
        </w:rPr>
        <w:t>2. Surya: OCR, layout analysis, reading order and table recognition [Электронный ресурс]. URL: https://github.com/datalab-to/surya (дата обращения: 13.07.2026).</w:t>
      </w:r>
    </w:p>
    <w:p>
      <w:pPr>
        <w:spacing w:after="0"/>
        <w:jc w:val="both"/>
      </w:pPr>
      <w:r>
        <w:rPr>
          <w:b w:val="0"/>
          <w:i w:val="0"/>
          <w:sz w:val="24"/>
        </w:rPr>
        <w:t>3. Lewis P., Perez E., Piktus A. et al. Retrieval-Augmented Generation for Knowledge-Intensive NLP Tasks // Advances in Neural Information Processing Systems. 2020. Vol. 33. P. 9459–9474.</w:t>
      </w:r>
    </w:p>
    <w:p>
      <w:pPr>
        <w:spacing w:after="0"/>
        <w:jc w:val="both"/>
      </w:pPr>
      <w:r>
        <w:rPr>
          <w:b w:val="0"/>
          <w:i w:val="0"/>
          <w:sz w:val="24"/>
        </w:rPr>
        <w:t>4. OGC GeoPackage Encoding Standard. Version 1.4.0. Open Geospatial Consortium, 2024.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