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AI-АГЕНТ ОЦИФРОВКИ АРХИВНОГО ГЕОЛОГО-ГЕОФИЗИЧЕСКОГО ОТЧЁТА: ОТ ОГЛАВЛЕНИЯ ДО СТРУКТУРНОЙ КАРТЫ И АВТОМАТИЧЕСКОГО QC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/>
          <w:sz w:val="24"/>
        </w:rPr>
        <w:t>Р.Р. Киямов</w:t>
      </w:r>
      <w:r>
        <w:rPr>
          <w:rFonts w:ascii="Times New Roman" w:hAnsi="Times New Roman" w:eastAsia="Times New Roman"/>
          <w:b/>
          <w:i/>
          <w:sz w:val="18"/>
          <w:vertAlign w:val="superscript"/>
        </w:rPr>
        <w:t>1</w:t>
      </w:r>
      <w:r>
        <w:rPr>
          <w:rFonts w:ascii="Times New Roman" w:hAnsi="Times New Roman" w:eastAsia="Times New Roman"/>
          <w:b/>
          <w:i/>
          <w:sz w:val="24"/>
        </w:rPr>
        <w:t xml:space="preserve">, </w:t>
      </w:r>
      <w:r>
        <w:rPr>
          <w:rFonts w:ascii="Times New Roman" w:hAnsi="Times New Roman" w:eastAsia="Times New Roman"/>
          <w:b/>
          <w:i/>
          <w:sz w:val="24"/>
        </w:rPr>
        <w:t>[соавтор 1]</w:t>
      </w:r>
      <w:r>
        <w:rPr>
          <w:rFonts w:ascii="Times New Roman" w:hAnsi="Times New Roman" w:eastAsia="Times New Roman"/>
          <w:b/>
          <w:i/>
          <w:sz w:val="18"/>
          <w:vertAlign w:val="superscript"/>
        </w:rPr>
        <w:t>1</w:t>
      </w:r>
      <w:r>
        <w:rPr>
          <w:rFonts w:ascii="Times New Roman" w:hAnsi="Times New Roman" w:eastAsia="Times New Roman"/>
          <w:b/>
          <w:i/>
          <w:sz w:val="24"/>
        </w:rPr>
        <w:t xml:space="preserve">, </w:t>
      </w:r>
      <w:r>
        <w:rPr>
          <w:rFonts w:ascii="Times New Roman" w:hAnsi="Times New Roman" w:eastAsia="Times New Roman"/>
          <w:b/>
          <w:i/>
          <w:sz w:val="24"/>
        </w:rPr>
        <w:t>[соавтор 2]</w:t>
      </w:r>
      <w:r>
        <w:rPr>
          <w:rFonts w:ascii="Times New Roman" w:hAnsi="Times New Roman" w:eastAsia="Times New Roman"/>
          <w:b/>
          <w:i/>
          <w:sz w:val="18"/>
          <w:vertAlign w:val="superscript"/>
        </w:rPr>
        <w:t>1</w:t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sz w:val="23"/>
        </w:rPr>
        <w:t>1 - [название организации]</w:t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sz w:val="23"/>
        </w:rPr>
        <w:t>E-mail: [указать e-mail]</w:t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sz w:val="23"/>
        </w:rPr>
        <w:t>Телефон: [указать телефон]</w:t>
      </w:r>
    </w:p>
    <w:p>
      <w:pPr>
        <w:spacing w:before="80" w:after="100"/>
        <w:jc w:val="center"/>
      </w:pPr>
      <w:r>
        <w:rPr>
          <w:rFonts w:ascii="Times New Roman" w:hAnsi="Times New Roman" w:eastAsia="Times New Roman"/>
          <w:i/>
          <w:color w:val="5A5A5A"/>
          <w:sz w:val="19"/>
        </w:rPr>
        <w:t>[Черновик: после benchmark требуется подставить фактические метрики и уточнить требования конференции.]</w:t>
      </w:r>
    </w:p>
    <w:p>
      <w:pPr>
        <w:keepNext/>
        <w:spacing w:before="80" w:after="0"/>
        <w:ind w:left="709"/>
      </w:pPr>
      <w:r>
        <w:rPr>
          <w:rFonts w:ascii="Times New Roman" w:hAnsi="Times New Roman" w:eastAsia="Times New Roman"/>
          <w:b/>
          <w:sz w:val="24"/>
        </w:rPr>
        <w:t>Аннотация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3"/>
        </w:rPr>
        <w:t>Предлагается вертикальный прототип интеллектуальной оцифровки архивного геолого-геофизического отчёта, ориентированный не на универсальное распознавание произвольных документов, а на сквозную обработку одного реального тома. Оглавление используется как машиночитаемый маршрут: OCR-модуль извлекает перечень приложений, мультимодальная модель исправляет ошибки распознавания и определяет тип каждого материала, после чего агент автоматически находит схему профилей, структурную карту и связанные с ними разрезы. Компьютерное зрение выделяет линейные и текстовые объекты, а семантический агент связывает номера профилей, пикетаж, изогипсы, значения отметок и разломы. Схема профилей применяется как дополнительный источник ограничений для удаления профильной сети со структурной карты. Контроль качества выполняется отдельным агентом по тексту отчёта и пространственным правилам; каждое замечание сопровождается ссылкой на страницу и кроп-доказательством. Результат формируется в GeoJSON/GeoPackage и может быть проверен в QGIS. В работе описаны архитектура MVP, схема валидации и порядок перехода от эвристик к локальному дообучению только на систематически ошибочных фрагментах.</w:t>
      </w:r>
    </w:p>
    <w:p>
      <w:pPr>
        <w:keepNext/>
        <w:spacing w:before="80" w:after="0"/>
        <w:ind w:left="709"/>
      </w:pPr>
      <w:r>
        <w:rPr>
          <w:rFonts w:ascii="Times New Roman" w:hAnsi="Times New Roman" w:eastAsia="Times New Roman"/>
          <w:b/>
          <w:sz w:val="24"/>
        </w:rPr>
        <w:t>Ключевые слова</w:t>
      </w:r>
    </w:p>
    <w:p>
      <w:pPr>
        <w:spacing w:line="240" w:lineRule="auto" w:before="0" w:after="60"/>
        <w:ind w:firstLine="709"/>
        <w:jc w:val="both"/>
      </w:pPr>
      <w:r>
        <w:rPr>
          <w:rFonts w:ascii="Times New Roman" w:hAnsi="Times New Roman" w:eastAsia="Times New Roman"/>
          <w:sz w:val="23"/>
        </w:rPr>
        <w:t>геолого-геофизический отчёт, OCR, компьютерное зрение, структурная карта, изогипсы, AI-агент, контроль качества, GeoPackage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3"/>
        </w:rPr>
        <w:t>Архивные геолого-геофизические материалы часто представлены многотомными сканами, в которых текстовая часть, карты, схемы профилей, сейсмические разрезы и таблицы хранятся как разрозненные изображения. Для получения цифровой структурной карты специалисту необходимо вручную найти нужные приложения, отделить геологические линии от профильной сети, распознать подписи и затем проверить согласованность результата с описанием объекта. Такой процесс занимает значительное время и плохо масштабируется при обработке фондовых материалов.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3"/>
        </w:rPr>
        <w:t>Целью работы является создание воспроизводимого прототипа, который демонстрирует полный путь от тома отчёта до набора векторных слоёв с автоматическим контролем качества. Принципиальным ограничением MVP является работа на одном реальном отчёте. Это позволяет проверять не отдельные OCR- или CV-модели, а полезность всей цепочки и измерять ошибки на конкретных геологических объектах.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961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geo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1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Рисунок 1 – Общая схема вертикального прототипа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Первым компонентом является </w:t>
      </w:r>
      <w:r>
        <w:rPr>
          <w:rFonts w:ascii="Times New Roman" w:hAnsi="Times New Roman" w:eastAsia="Times New Roman"/>
          <w:b/>
          <w:i w:val="0"/>
          <w:sz w:val="23"/>
        </w:rPr>
        <w:t>парсер оглавления</w:t>
      </w:r>
      <w:r>
        <w:rPr>
          <w:rFonts w:ascii="Times New Roman" w:hAnsi="Times New Roman" w:eastAsia="Times New Roman"/>
          <w:b w:val="0"/>
          <w:i w:val="0"/>
          <w:sz w:val="23"/>
        </w:rPr>
        <w:t>. PaddleOCR и Surya сравниваются на одном и том же листе; результат сохраняется не только как текст, но и как JSON с номером приложения, названием, типом документа и координатами строки. Мультимодальная модель GLM используется как корректор для сложных фрагментов и классифицирует приложения по типам: карта, схема профилей, разрез или таблица. На основании JSON агент находит карту № 21, схему профилей № 13 и разрезы № 15–19 [1, 2].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Второй компонент выполняет </w:t>
      </w:r>
      <w:r>
        <w:rPr>
          <w:rFonts w:ascii="Times New Roman" w:hAnsi="Times New Roman" w:eastAsia="Times New Roman"/>
          <w:b/>
          <w:i w:val="0"/>
          <w:sz w:val="23"/>
        </w:rPr>
        <w:t>оцифровку профильной сети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. На схеме № 13 извлекаются объекты </w:t>
      </w:r>
      <w:r>
        <w:rPr>
          <w:rFonts w:ascii="Courier New" w:hAnsi="Courier New" w:eastAsia="Courier New"/>
          <w:b w:val="0"/>
          <w:i w:val="0"/>
          <w:sz w:val="21"/>
        </w:rPr>
        <w:t>profile_line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 и </w:t>
      </w:r>
      <w:r>
        <w:rPr>
          <w:rFonts w:ascii="Courier New" w:hAnsi="Courier New" w:eastAsia="Courier New"/>
          <w:b w:val="0"/>
          <w:i w:val="0"/>
          <w:sz w:val="21"/>
        </w:rPr>
        <w:t>profile_id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, а на карте № 21 — отметки пересечения профилей и пикетаж </w:t>
      </w:r>
      <w:r>
        <w:rPr>
          <w:rFonts w:ascii="Courier New" w:hAnsi="Courier New" w:eastAsia="Courier New"/>
          <w:b w:val="0"/>
          <w:i w:val="0"/>
          <w:sz w:val="21"/>
        </w:rPr>
        <w:t>profile_tick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, </w:t>
      </w:r>
      <w:r>
        <w:rPr>
          <w:rFonts w:ascii="Courier New" w:hAnsi="Courier New" w:eastAsia="Courier New"/>
          <w:b w:val="0"/>
          <w:i w:val="0"/>
          <w:sz w:val="21"/>
        </w:rPr>
        <w:t>picket_value</w:t>
      </w:r>
      <w:r>
        <w:rPr>
          <w:rFonts w:ascii="Times New Roman" w:hAnsi="Times New Roman" w:eastAsia="Times New Roman"/>
          <w:b w:val="0"/>
          <w:i w:val="0"/>
          <w:sz w:val="23"/>
        </w:rPr>
        <w:t>. Геометрия и номера профилей со схемы используются как априорное ограничение при маскировании профильных линий на карте. Такой подход уменьшает вероятность того, что профиль будет ошибочно принят за изогипсу.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После маскирования выполняется </w:t>
      </w:r>
      <w:r>
        <w:rPr>
          <w:rFonts w:ascii="Times New Roman" w:hAnsi="Times New Roman" w:eastAsia="Times New Roman"/>
          <w:b/>
          <w:i w:val="0"/>
          <w:sz w:val="23"/>
        </w:rPr>
        <w:t>оцифровка структуры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: выделяются контуры </w:t>
      </w:r>
      <w:r>
        <w:rPr>
          <w:rFonts w:ascii="Courier New" w:hAnsi="Courier New" w:eastAsia="Courier New"/>
          <w:b w:val="0"/>
          <w:i w:val="0"/>
          <w:sz w:val="21"/>
        </w:rPr>
        <w:t>structure_contour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, их значения </w:t>
      </w:r>
      <w:r>
        <w:rPr>
          <w:rFonts w:ascii="Courier New" w:hAnsi="Courier New" w:eastAsia="Courier New"/>
          <w:b w:val="0"/>
          <w:i w:val="0"/>
          <w:sz w:val="21"/>
        </w:rPr>
        <w:t>contour_value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 и разломы </w:t>
      </w:r>
      <w:r>
        <w:rPr>
          <w:rFonts w:ascii="Courier New" w:hAnsi="Courier New" w:eastAsia="Courier New"/>
          <w:b w:val="0"/>
          <w:i w:val="0"/>
          <w:sz w:val="21"/>
        </w:rPr>
        <w:t>fault</w:t>
      </w:r>
      <w:r>
        <w:rPr>
          <w:rFonts w:ascii="Times New Roman" w:hAnsi="Times New Roman" w:eastAsia="Times New Roman"/>
          <w:b w:val="0"/>
          <w:i w:val="0"/>
          <w:sz w:val="23"/>
        </w:rPr>
        <w:t>. OpenCV используется для предварительной обработки, сегментации и извлечения линий; OCR и GLM читают числовые подписи и определяют, к какому объекту они относятся. Вместо передачи модели всего листа агент формирует небольшие кропы с координатами и запрашивает повторное распознавание только для зон с низкой уверенностью [3].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Оркестрация реализуется как </w:t>
      </w:r>
      <w:r>
        <w:rPr>
          <w:rFonts w:ascii="Times New Roman" w:hAnsi="Times New Roman" w:eastAsia="Times New Roman"/>
          <w:b/>
          <w:i w:val="0"/>
          <w:sz w:val="23"/>
        </w:rPr>
        <w:t>граф состояний LangGraph</w:t>
      </w:r>
      <w:r>
        <w:rPr>
          <w:rFonts w:ascii="Times New Roman" w:hAnsi="Times New Roman" w:eastAsia="Times New Roman"/>
          <w:b w:val="0"/>
          <w:i w:val="0"/>
          <w:sz w:val="23"/>
        </w:rPr>
        <w:t>. Узлы графа вызывают OCR-, CV- и геопространственные инструменты, сохраняют промежуточные результаты и ветвятся по уровню уверенности. Текстовая часть отчёта индексируется в RAGFlow с компактным reranker и применяется только как доказательная база для QC: она не создаёт геометрию, а подтверждает или опровергает извлечённые объекты [4].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Отдельный </w:t>
      </w:r>
      <w:r>
        <w:rPr>
          <w:rFonts w:ascii="Times New Roman" w:hAnsi="Times New Roman" w:eastAsia="Times New Roman"/>
          <w:b/>
          <w:i w:val="0"/>
          <w:sz w:val="23"/>
        </w:rPr>
        <w:t>QC-агент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 проверяет постоянство шага изогипс, допустимость скачков значений, соответствие отметок пикетажу и профилям, а также названия и количество структур по тексту отчёта. Каждая ошибка оформляется как структурированное замечание с типом проверки, уровнем уверенности, номером страницы и кропом исходного изображения. Это позволяет специалисту проверять не весь лист, а только спорные места.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3"/>
        </w:rPr>
        <w:t>Результаты сохраняются в GeoJSON и GeoPackage с раздельными слоями профилей, изогипс, разломов, подписей и ошибок QC. В демонстрационном интерфейсе Streamlit предусматриваются переключатели исходного растра и векторных слоёв, переход к доказательству ошибки и экспорт единого GeoPackage. Финальная геометрическая проверка выполняется в QGIS [5].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3"/>
        </w:rPr>
        <w:t>На первом этапе обучение собственных моделей не планируется. Сначала проводится benchmark оглавления на PaddleOCR и Surya с оценкой полноты строк, CER/WER, корректности номера приложения и точности классификации типа документа. Затем на листах № 13 и № 21 измеряются полнота и точность извлечения линий, распознавание числовых значений, доля топологических ошибок и время ручной корректировки. Если профили и изогипсы систематически смешиваются, размечаются только проблемные тайлы и добавляется небольшая сегментационная модель. Такой порядок позволяет не начинать с дорогостоящей разметки до подтверждения конкретного класса ошибок.</w:t>
      </w:r>
    </w:p>
    <w:p>
      <w:pPr>
        <w:spacing w:line="240" w:lineRule="auto" w:before="0" w:after="80"/>
        <w:ind w:firstLine="709"/>
        <w:jc w:val="both"/>
      </w:pPr>
      <w:r>
        <w:rPr>
          <w:rFonts w:ascii="Times New Roman" w:hAnsi="Times New Roman" w:eastAsia="Times New Roman"/>
          <w:sz w:val="23"/>
        </w:rPr>
        <w:t>Новизна подхода заключается в использовании оглавления как управляющего слоя, в совместной обработке нескольких взаимосвязанных приложений одного отчёта и в автоматическом контроле результата с указанием первичного доказательства. Практический результат MVP — первый законченный фрагмент системы: корректный JSON приложений, автоматический запуск обработки схемы № 13 и карты № 21, получение редактируемых геометрий и формирование перечня участков, требующих участия специалиста.</w:t>
      </w:r>
    </w:p>
    <w:p>
      <w:pPr>
        <w:keepNext/>
        <w:spacing w:before="40" w:after="0"/>
        <w:ind w:left="709"/>
      </w:pPr>
      <w:r>
        <w:rPr>
          <w:rFonts w:ascii="Times New Roman" w:hAnsi="Times New Roman" w:eastAsia="Times New Roman"/>
          <w:b/>
          <w:sz w:val="24"/>
        </w:rPr>
        <w:t>Список литературы</w:t>
      </w:r>
    </w:p>
    <w:p>
      <w:pPr>
        <w:spacing w:after="0" w:line="240" w:lineRule="auto"/>
        <w:ind w:left="369" w:hanging="369"/>
        <w:jc w:val="both"/>
      </w:pPr>
      <w:r>
        <w:rPr>
          <w:rFonts w:ascii="Times New Roman" w:hAnsi="Times New Roman" w:eastAsia="Times New Roman"/>
          <w:sz w:val="19"/>
        </w:rPr>
        <w:t>1. Li C., Liu W., Guo R. et al. PP-OCRv3: More Attempts for the Improvement of Ultra Lightweight OCR System // arXiv:2206.03001. 2022.</w:t>
      </w:r>
    </w:p>
    <w:p>
      <w:pPr>
        <w:spacing w:after="0" w:line="240" w:lineRule="auto"/>
        <w:ind w:left="369" w:hanging="369"/>
        <w:jc w:val="both"/>
      </w:pPr>
      <w:r>
        <w:rPr>
          <w:rFonts w:ascii="Times New Roman" w:hAnsi="Times New Roman" w:eastAsia="Times New Roman"/>
          <w:sz w:val="19"/>
        </w:rPr>
        <w:t>2. Surya: OCR, layout analysis, reading order and table recognition [Электронный ресурс]. URL: https://github.com/datalab-to/surya (дата обращения: 13.07.2026).</w:t>
      </w:r>
    </w:p>
    <w:p>
      <w:pPr>
        <w:spacing w:after="0" w:line="240" w:lineRule="auto"/>
        <w:ind w:left="369" w:hanging="369"/>
        <w:jc w:val="both"/>
      </w:pPr>
      <w:r>
        <w:rPr>
          <w:rFonts w:ascii="Times New Roman" w:hAnsi="Times New Roman" w:eastAsia="Times New Roman"/>
          <w:sz w:val="19"/>
        </w:rPr>
        <w:t>3. Suzuki S., Abe K. Topological Structural Analysis of Digitized Binary Images by Border Following // Computer Vision, Graphics, and Image Processing. 1985. Vol. 30. No. 1. P. 32–46.</w:t>
      </w:r>
    </w:p>
    <w:p>
      <w:pPr>
        <w:spacing w:after="0" w:line="240" w:lineRule="auto"/>
        <w:ind w:left="369" w:hanging="369"/>
        <w:jc w:val="both"/>
      </w:pPr>
      <w:r>
        <w:rPr>
          <w:rFonts w:ascii="Times New Roman" w:hAnsi="Times New Roman" w:eastAsia="Times New Roman"/>
          <w:sz w:val="19"/>
        </w:rPr>
        <w:t>4. LangGraph Documentation: Graph API and stateful agent orchestration [Электронный ресурс]. URL: https://docs.langchain.com/oss/python/langgraph/overview (дата обращения: 13.07.2026).</w:t>
      </w:r>
    </w:p>
    <w:p>
      <w:pPr>
        <w:spacing w:after="0" w:line="240" w:lineRule="auto"/>
        <w:ind w:left="369" w:hanging="369"/>
        <w:jc w:val="both"/>
      </w:pPr>
      <w:r>
        <w:rPr>
          <w:rFonts w:ascii="Times New Roman" w:hAnsi="Times New Roman" w:eastAsia="Times New Roman"/>
          <w:sz w:val="19"/>
        </w:rPr>
        <w:t>5. OGC GeoPackage Encoding Standard. Version 1.4.0. Open Geospatial Consortium, 2024.</w:t>
      </w:r>
    </w:p>
    <w:sectPr w:rsidR="00FC693F" w:rsidRPr="0006063C" w:rsidSect="00034616"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AI-агент оцифровки архивного геолого-геофизического отчёта</dc:title>
  <dc:subject>Черновик тезисов для конференции</dc:subject>
  <dc:creator>Р.Р. Киямов</dc:creator>
  <cp:keywords/>
  <dc:description>Черновой документ; требуется дополнить фактическими результатами benchmark.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