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Supplementary Table S4. Robustness of prediction accuracy to the choice of boosting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Cutoff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Gradient Boosting 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XGBoost R²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LightGBM R²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Male</w:t>
            </w:r>
          </w:p>
        </w:tc>
        <w:tc>
          <w:tcPr>
            <w:tcW w:type="dxa" w:w="1440"/>
          </w:tcPr>
          <w:p>
            <w:r>
              <w:t>958</w:t>
            </w:r>
          </w:p>
        </w:tc>
        <w:tc>
          <w:tcPr>
            <w:tcW w:type="dxa" w:w="1440"/>
          </w:tcPr>
          <w:p>
            <w:r>
              <w:t>0.609 [0.528, 0.675]</w:t>
            </w:r>
          </w:p>
        </w:tc>
        <w:tc>
          <w:tcPr>
            <w:tcW w:type="dxa" w:w="1440"/>
          </w:tcPr>
          <w:p>
            <w:r>
              <w:t>0.611 [0.529, 0.679]</w:t>
            </w:r>
          </w:p>
        </w:tc>
        <w:tc>
          <w:tcPr>
            <w:tcW w:type="dxa" w:w="1440"/>
          </w:tcPr>
          <w:p>
            <w:r>
              <w:t>0.594 [0.513, 0.661]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Male</w:t>
            </w:r>
          </w:p>
        </w:tc>
        <w:tc>
          <w:tcPr>
            <w:tcW w:type="dxa" w:w="1440"/>
          </w:tcPr>
          <w:p>
            <w:r>
              <w:t>2662</w:t>
            </w:r>
          </w:p>
        </w:tc>
        <w:tc>
          <w:tcPr>
            <w:tcW w:type="dxa" w:w="1440"/>
          </w:tcPr>
          <w:p>
            <w:r>
              <w:t>0.799 [0.761, 0.827]</w:t>
            </w:r>
          </w:p>
        </w:tc>
        <w:tc>
          <w:tcPr>
            <w:tcW w:type="dxa" w:w="1440"/>
          </w:tcPr>
          <w:p>
            <w:r>
              <w:t>0.8 [0.765, 0.828]</w:t>
            </w:r>
          </w:p>
        </w:tc>
        <w:tc>
          <w:tcPr>
            <w:tcW w:type="dxa" w:w="1440"/>
          </w:tcPr>
          <w:p>
            <w:r>
              <w:t>0.8 [0.76, 0.827]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Female</w:t>
            </w:r>
          </w:p>
        </w:tc>
        <w:tc>
          <w:tcPr>
            <w:tcW w:type="dxa" w:w="1440"/>
          </w:tcPr>
          <w:p>
            <w:r>
              <w:t>522</w:t>
            </w:r>
          </w:p>
        </w:tc>
        <w:tc>
          <w:tcPr>
            <w:tcW w:type="dxa" w:w="1440"/>
          </w:tcPr>
          <w:p>
            <w:r>
              <w:t>0.647 [0.49, 0.771]</w:t>
            </w:r>
          </w:p>
        </w:tc>
        <w:tc>
          <w:tcPr>
            <w:tcW w:type="dxa" w:w="1440"/>
          </w:tcPr>
          <w:p>
            <w:r>
              <w:t>0.641 [0.461, 0.755]</w:t>
            </w:r>
          </w:p>
        </w:tc>
        <w:tc>
          <w:tcPr>
            <w:tcW w:type="dxa" w:w="1440"/>
          </w:tcPr>
          <w:p>
            <w:r>
              <w:t>0.618 [0.436, 0.743]</w:t>
            </w:r>
          </w:p>
        </w:tc>
      </w:tr>
    </w:tbl>
    <w:p>
      <w:r>
        <w:rPr>
          <w:i/>
          <w:sz w:val="18"/>
        </w:rPr>
        <w:t>All models used identical settings (100 estimators, maximum depth 3, learning rate 0.1) and the trajectory + wind feature set, evaluated by repeated 5-fold cross-validation (robustness check) with 95% bootstrap confidence intervals. The three frameworks yield near-identical accuracy (differences ≤ 0.02), indicating the findings do not depend on the specific gradient-boosting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