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érminos-y-condiciones-de-uso-tcg-nexo"/>
    <w:p>
      <w:pPr>
        <w:pStyle w:val="Heading1"/>
      </w:pPr>
      <w:r>
        <w:t xml:space="preserve">Términos y Condiciones de Uso — TCG Nexo</w:t>
      </w:r>
    </w:p>
    <w:p>
      <w:pPr>
        <w:pStyle w:val="BlockText"/>
      </w:pPr>
      <w:r>
        <w:rPr>
          <w:b/>
          <w:bCs/>
        </w:rPr>
        <w:t xml:space="preserve">Borrador orientativo.</w:t>
      </w:r>
      <w:r>
        <w:t xml:space="preserve"> </w:t>
      </w:r>
      <w:r>
        <w:t xml:space="preserve">No constituye asesoría legal. Debe ser revisado por un abogado antes de publicarse. Completar los campos marcados con</w:t>
      </w:r>
      <w:r>
        <w:t xml:space="preserve"> </w:t>
      </w:r>
      <w:r>
        <w:rPr>
          <w:rStyle w:val="VerbatimChar"/>
        </w:rPr>
        <w:t xml:space="preserve">[corchetes]</w:t>
      </w:r>
      <w:r>
        <w:t xml:space="preserve">.</w:t>
      </w:r>
    </w:p>
    <w:p>
      <w:pPr>
        <w:pStyle w:val="FirstParagraph"/>
      </w:pPr>
      <w:r>
        <w:rPr>
          <w:b/>
          <w:bCs/>
        </w:rPr>
        <w:t xml:space="preserve">Última actualización:</w:t>
      </w:r>
      <w:r>
        <w:t xml:space="preserve"> </w:t>
      </w:r>
      <w:r>
        <w:t xml:space="preserve">[día] de [mes] de [año]</w:t>
      </w:r>
    </w:p>
    <w:p>
      <w:r>
        <w:pict>
          <v:rect style="width:0;height:1.5pt" o:hralign="center" o:hrstd="t" o:hr="t"/>
        </w:pict>
      </w:r>
    </w:p>
    <w:bookmarkStart w:id="9" w:name="introducción-y-aceptación"/>
    <w:p>
      <w:pPr>
        <w:pStyle w:val="Heading2"/>
      </w:pPr>
      <w:r>
        <w:t xml:space="preserve">1. Introducción y aceptación</w:t>
      </w:r>
    </w:p>
    <w:p>
      <w:pPr>
        <w:pStyle w:val="FirstParagraph"/>
      </w:pPr>
      <w:r>
        <w:t xml:space="preserve">Los presentes Términos y Condiciones de Uso (en adelante, los</w:t>
      </w:r>
      <w:r>
        <w:t xml:space="preserve"> </w:t>
      </w:r>
      <w:r>
        <w:rPr>
          <w:b/>
          <w:bCs/>
        </w:rPr>
        <w:t xml:space="preserve">“Términos”</w:t>
      </w:r>
      <w:r>
        <w:t xml:space="preserve">) regulan el acceso y uso del sitio web, aplicación y servicios asociados operados bajo la marca</w:t>
      </w:r>
      <w:r>
        <w:t xml:space="preserve"> </w:t>
      </w:r>
      <w:r>
        <w:rPr>
          <w:b/>
          <w:bCs/>
        </w:rPr>
        <w:t xml:space="preserve">TCG Nexo</w:t>
      </w:r>
      <w:r>
        <w:t xml:space="preserve"> </w:t>
      </w:r>
      <w:r>
        <w:t xml:space="preserve">(en adelante, la</w:t>
      </w:r>
      <w:r>
        <w:t xml:space="preserve"> </w:t>
      </w:r>
      <w:r>
        <w:rPr>
          <w:b/>
          <w:bCs/>
        </w:rPr>
        <w:t xml:space="preserve">“Plataforma”</w:t>
      </w:r>
      <w:r>
        <w:t xml:space="preserve">).</w:t>
      </w:r>
    </w:p>
    <w:p>
      <w:pPr>
        <w:pStyle w:val="BodyText"/>
      </w:pPr>
      <w:r>
        <w:t xml:space="preserve">La Plataforma es operada por</w:t>
      </w:r>
      <w:r>
        <w:t xml:space="preserve"> </w:t>
      </w:r>
      <w:r>
        <w:rPr>
          <w:b/>
          <w:bCs/>
        </w:rPr>
        <w:t xml:space="preserve">[RAZÓN SOCIAL]</w:t>
      </w:r>
      <w:r>
        <w:t xml:space="preserve">, RUT</w:t>
      </w:r>
      <w:r>
        <w:t xml:space="preserve"> </w:t>
      </w:r>
      <w:r>
        <w:rPr>
          <w:b/>
          <w:bCs/>
        </w:rPr>
        <w:t xml:space="preserve">[RUT]</w:t>
      </w:r>
      <w:r>
        <w:t xml:space="preserve">, con domicilio en</w:t>
      </w:r>
      <w:r>
        <w:t xml:space="preserve"> </w:t>
      </w:r>
      <w:r>
        <w:rPr>
          <w:b/>
          <w:bCs/>
        </w:rPr>
        <w:t xml:space="preserve">[CIUDAD, PAÍS]</w:t>
      </w:r>
      <w:r>
        <w:t xml:space="preserve"> </w:t>
      </w:r>
      <w:r>
        <w:t xml:space="preserve">(en adelante, el</w:t>
      </w:r>
      <w:r>
        <w:t xml:space="preserve"> </w:t>
      </w:r>
      <w:r>
        <w:rPr>
          <w:b/>
          <w:bCs/>
        </w:rPr>
        <w:t xml:space="preserve">“Operador”</w:t>
      </w:r>
      <w:r>
        <w:t xml:space="preserve">).</w:t>
      </w:r>
    </w:p>
    <w:p>
      <w:pPr>
        <w:pStyle w:val="BodyText"/>
      </w:pPr>
      <w:r>
        <w:t xml:space="preserve">Al registrarte, iniciar sesión o utilizar la Plataforma, declaras haber leído, comprendido y aceptado estos Términos. Si no estás de acuerdo, no debes usar la Plataforma.</w:t>
      </w:r>
    </w:p>
    <w:p>
      <w:pPr>
        <w:pStyle w:val="BodyText"/>
      </w:pPr>
      <w:r>
        <w:t xml:space="preserve">El Operador podrá publicar políticas complementarias (por ejemplo, Política de Privacidad, reglas de torneos de una tienda, condiciones de canje de puntos). En caso de conflicto entre documentos, prevalecerá lo indicado expresamente en el documento específico para ese servicio, salvo que estos Términos dispongan lo contrario.</w:t>
      </w:r>
    </w:p>
    <w:p>
      <w:r>
        <w:pict>
          <v:rect style="width:0;height:1.5pt" o:hralign="center" o:hrstd="t" o:hr="t"/>
        </w:pict>
      </w:r>
    </w:p>
    <w:bookmarkEnd w:id="9"/>
    <w:bookmarkStart w:id="10" w:name="definiciones"/>
    <w:p>
      <w:pPr>
        <w:pStyle w:val="Heading2"/>
      </w:pPr>
      <w:r>
        <w:t xml:space="preserve">2. Definiciones</w:t>
      </w:r>
    </w:p>
    <w:p>
      <w:pPr>
        <w:pStyle w:val="Compact"/>
        <w:numPr>
          <w:ilvl w:val="0"/>
          <w:numId w:val="1001"/>
        </w:numPr>
      </w:pPr>
      <w:r>
        <w:rPr>
          <w:b/>
          <w:bCs/>
        </w:rPr>
        <w:t xml:space="preserve">Usuario:</w:t>
      </w:r>
      <w:r>
        <w:t xml:space="preserve"> </w:t>
      </w:r>
      <w:r>
        <w:t xml:space="preserve">persona que crea una cuenta o utiliza la Plataforma.</w:t>
      </w:r>
    </w:p>
    <w:p>
      <w:pPr>
        <w:pStyle w:val="Compact"/>
        <w:numPr>
          <w:ilvl w:val="0"/>
          <w:numId w:val="1001"/>
        </w:numPr>
      </w:pPr>
      <w:r>
        <w:rPr>
          <w:b/>
          <w:bCs/>
        </w:rPr>
        <w:t xml:space="preserve">Tienda:</w:t>
      </w:r>
      <w:r>
        <w:t xml:space="preserve"> </w:t>
      </w:r>
      <w:r>
        <w:t xml:space="preserve">local o marca asociada a un espacio dentro de la Plataforma (por ejemplo, identificada por un nombre y un</w:t>
      </w:r>
      <w:r>
        <w:t xml:space="preserve"> </w:t>
      </w:r>
      <w:r>
        <w:rPr>
          <w:i/>
          <w:iCs/>
        </w:rPr>
        <w:t xml:space="preserve">slug</w:t>
      </w:r>
      <w:r>
        <w:t xml:space="preserve"> </w:t>
      </w:r>
      <w:r>
        <w:t xml:space="preserve">en la URL).</w:t>
      </w:r>
    </w:p>
    <w:p>
      <w:pPr>
        <w:pStyle w:val="Compact"/>
        <w:numPr>
          <w:ilvl w:val="0"/>
          <w:numId w:val="1001"/>
        </w:numPr>
      </w:pPr>
      <w:r>
        <w:rPr>
          <w:b/>
          <w:bCs/>
        </w:rPr>
        <w:t xml:space="preserve">Cuenta:</w:t>
      </w:r>
      <w:r>
        <w:t xml:space="preserve"> </w:t>
      </w:r>
      <w:r>
        <w:t xml:space="preserve">credenciales y perfil vinculados a un Usuario.</w:t>
      </w:r>
    </w:p>
    <w:p>
      <w:pPr>
        <w:pStyle w:val="Compact"/>
        <w:numPr>
          <w:ilvl w:val="0"/>
          <w:numId w:val="1001"/>
        </w:numPr>
      </w:pPr>
      <w:r>
        <w:rPr>
          <w:b/>
          <w:bCs/>
        </w:rPr>
        <w:t xml:space="preserve">Contenido del Usuario:</w:t>
      </w:r>
      <w:r>
        <w:t xml:space="preserve"> </w:t>
      </w:r>
      <w:r>
        <w:t xml:space="preserve">textos, imágenes, listas de mazos (</w:t>
      </w:r>
      <w:r>
        <w:rPr>
          <w:i/>
          <w:iCs/>
        </w:rPr>
        <w:t xml:space="preserve">decklists</w:t>
      </w:r>
      <w:r>
        <w:t xml:space="preserve">), comentarios, sugerencias y demás material que el Usuario cargue o envíe.</w:t>
      </w:r>
    </w:p>
    <w:p>
      <w:pPr>
        <w:pStyle w:val="Compact"/>
        <w:numPr>
          <w:ilvl w:val="0"/>
          <w:numId w:val="1001"/>
        </w:numPr>
      </w:pPr>
      <w:r>
        <w:rPr>
          <w:b/>
          <w:bCs/>
        </w:rPr>
        <w:t xml:space="preserve">Servicios de tienda:</w:t>
      </w:r>
      <w:r>
        <w:t xml:space="preserve"> </w:t>
      </w:r>
      <w:r>
        <w:t xml:space="preserve">funciones ligadas a una Tienda activa, como eventos semanales, registro de correos físicos, crédito o puntos de tienda, ligas y clasificaciones, según estén habilitados.</w:t>
      </w:r>
    </w:p>
    <w:p>
      <w:r>
        <w:pict>
          <v:rect style="width:0;height:1.5pt" o:hralign="center" o:hrstd="t" o:hr="t"/>
        </w:pict>
      </w:r>
    </w:p>
    <w:bookmarkEnd w:id="10"/>
    <w:bookmarkStart w:id="11" w:name="elegibilidad-y-registro"/>
    <w:p>
      <w:pPr>
        <w:pStyle w:val="Heading2"/>
      </w:pPr>
      <w:r>
        <w:t xml:space="preserve">3. Elegibilidad y registro</w:t>
      </w:r>
    </w:p>
    <w:p>
      <w:pPr>
        <w:pStyle w:val="FirstParagraph"/>
      </w:pPr>
      <w:r>
        <w:t xml:space="preserve">3.1. Debes tener al menos</w:t>
      </w:r>
      <w:r>
        <w:t xml:space="preserve"> </w:t>
      </w:r>
      <w:r>
        <w:rPr>
          <w:b/>
          <w:bCs/>
        </w:rPr>
        <w:t xml:space="preserve">18 años</w:t>
      </w:r>
      <w:r>
        <w:t xml:space="preserve"> </w:t>
      </w:r>
      <w:r>
        <w:t xml:space="preserve">o la mayoría de edad legal en tu país, o contar con autorización de tu representante legal si la ley lo exige.</w:t>
      </w:r>
    </w:p>
    <w:p>
      <w:pPr>
        <w:pStyle w:val="BodyText"/>
      </w:pPr>
      <w:r>
        <w:t xml:space="preserve">3.2. La información que proporciones al registrarte (nombre, correo, identificadores como RUT o ID de jugador oficial, según corresponda) debe ser</w:t>
      </w:r>
      <w:r>
        <w:t xml:space="preserve"> </w:t>
      </w:r>
      <w:r>
        <w:rPr>
          <w:b/>
          <w:bCs/>
        </w:rPr>
        <w:t xml:space="preserve">veraz, actual y completa</w:t>
      </w:r>
      <w:r>
        <w:t xml:space="preserve">. Eres responsable de mantenerla actualizada.</w:t>
      </w:r>
    </w:p>
    <w:p>
      <w:pPr>
        <w:pStyle w:val="BodyText"/>
      </w:pPr>
      <w:r>
        <w:t xml:space="preserve">3.3. Eres responsable de la</w:t>
      </w:r>
      <w:r>
        <w:t xml:space="preserve"> </w:t>
      </w:r>
      <w:r>
        <w:rPr>
          <w:b/>
          <w:bCs/>
        </w:rPr>
        <w:t xml:space="preserve">confidencialidad</w:t>
      </w:r>
      <w:r>
        <w:t xml:space="preserve"> </w:t>
      </w:r>
      <w:r>
        <w:t xml:space="preserve">de tu contraseña y de toda actividad realizada desde tu Cuenta. Debes notificar de inmediato al Operador si sospechas acceso no autorizado.</w:t>
      </w:r>
    </w:p>
    <w:p>
      <w:pPr>
        <w:pStyle w:val="BodyText"/>
      </w:pPr>
      <w:r>
        <w:t xml:space="preserve">3.4. El Operador puede rechazar, suspender o cerrar Cuentas que infrinjan estos Términos o que representen riesgo para la Plataforma, otras personas o las Tiendas asociadas.</w:t>
      </w:r>
    </w:p>
    <w:p>
      <w:r>
        <w:pict>
          <v:rect style="width:0;height:1.5pt" o:hralign="center" o:hrstd="t" o:hr="t"/>
        </w:pict>
      </w:r>
    </w:p>
    <w:bookmarkEnd w:id="11"/>
    <w:bookmarkStart w:id="12" w:name="descripción-general-del-servicio"/>
    <w:p>
      <w:pPr>
        <w:pStyle w:val="Heading2"/>
      </w:pPr>
      <w:r>
        <w:t xml:space="preserve">4. Descripción general del servicio</w:t>
      </w:r>
    </w:p>
    <w:p>
      <w:pPr>
        <w:pStyle w:val="FirstParagraph"/>
      </w:pPr>
      <w:r>
        <w:t xml:space="preserve">TCG Nexo es una plataforma digital que permite, entre otras cosas:</w:t>
      </w:r>
    </w:p>
    <w:p>
      <w:pPr>
        <w:pStyle w:val="Compact"/>
        <w:numPr>
          <w:ilvl w:val="0"/>
          <w:numId w:val="1002"/>
        </w:numPr>
      </w:pPr>
      <w:r>
        <w:t xml:space="preserve">Gestionar la relación entre Usuarios y</w:t>
      </w:r>
      <w:r>
        <w:t xml:space="preserve"> </w:t>
      </w:r>
      <w:r>
        <w:rPr>
          <w:b/>
          <w:bCs/>
        </w:rPr>
        <w:t xml:space="preserve">Tiendas</w:t>
      </w:r>
      <w:r>
        <w:t xml:space="preserve"> </w:t>
      </w:r>
      <w:r>
        <w:t xml:space="preserve">de cartas coleccionables (</w:t>
      </w:r>
      <w:r>
        <w:rPr>
          <w:i/>
          <w:iCs/>
        </w:rPr>
        <w:t xml:space="preserve">Trading Card Games</w:t>
      </w:r>
      <w:r>
        <w:t xml:space="preserve">).</w:t>
      </w:r>
    </w:p>
    <w:p>
      <w:pPr>
        <w:pStyle w:val="Compact"/>
        <w:numPr>
          <w:ilvl w:val="0"/>
          <w:numId w:val="1002"/>
        </w:numPr>
      </w:pPr>
      <w:r>
        <w:t xml:space="preserve">Consultar y participar en</w:t>
      </w:r>
      <w:r>
        <w:t xml:space="preserve"> </w:t>
      </w:r>
      <w:r>
        <w:rPr>
          <w:b/>
          <w:bCs/>
        </w:rPr>
        <w:t xml:space="preserve">eventos y torneos</w:t>
      </w:r>
      <w:r>
        <w:t xml:space="preserve"> </w:t>
      </w:r>
      <w:r>
        <w:t xml:space="preserve">publicados por las Tiendas.</w:t>
      </w:r>
    </w:p>
    <w:p>
      <w:pPr>
        <w:pStyle w:val="Compact"/>
        <w:numPr>
          <w:ilvl w:val="0"/>
          <w:numId w:val="1002"/>
        </w:numPr>
      </w:pPr>
      <w:r>
        <w:t xml:space="preserve">Registrar y hacer seguimiento de</w:t>
      </w:r>
      <w:r>
        <w:t xml:space="preserve"> </w:t>
      </w:r>
      <w:r>
        <w:rPr>
          <w:b/>
          <w:bCs/>
        </w:rPr>
        <w:t xml:space="preserve">correos o paquetes</w:t>
      </w:r>
      <w:r>
        <w:t xml:space="preserve"> </w:t>
      </w:r>
      <w:r>
        <w:t xml:space="preserve">destinados a retiro en tienda, cuando esa función esté disponible.</w:t>
      </w:r>
    </w:p>
    <w:p>
      <w:pPr>
        <w:pStyle w:val="Compact"/>
        <w:numPr>
          <w:ilvl w:val="0"/>
          <w:numId w:val="1002"/>
        </w:numPr>
      </w:pPr>
      <w:r>
        <w:t xml:space="preserve">Visualizar o usar</w:t>
      </w:r>
      <w:r>
        <w:t xml:space="preserve"> </w:t>
      </w:r>
      <w:r>
        <w:rPr>
          <w:b/>
          <w:bCs/>
        </w:rPr>
        <w:t xml:space="preserve">crédito o puntos</w:t>
      </w:r>
      <w:r>
        <w:t xml:space="preserve"> </w:t>
      </w:r>
      <w:r>
        <w:t xml:space="preserve">asociados a una Tienda, si la Tienda los ofrece.</w:t>
      </w:r>
    </w:p>
    <w:p>
      <w:pPr>
        <w:pStyle w:val="Compact"/>
        <w:numPr>
          <w:ilvl w:val="0"/>
          <w:numId w:val="1002"/>
        </w:numPr>
      </w:pPr>
      <w:r>
        <w:t xml:space="preserve">Crear, guardar y, si el Usuario lo autoriza,</w:t>
      </w:r>
      <w:r>
        <w:t xml:space="preserve"> </w:t>
      </w:r>
      <w:r>
        <w:rPr>
          <w:b/>
          <w:bCs/>
        </w:rPr>
        <w:t xml:space="preserve">compartir públicamente</w:t>
      </w:r>
      <w:r>
        <w:t xml:space="preserve"> </w:t>
      </w:r>
      <w:r>
        <w:t xml:space="preserve">listas de mazos.</w:t>
      </w:r>
    </w:p>
    <w:p>
      <w:pPr>
        <w:pStyle w:val="Compact"/>
        <w:numPr>
          <w:ilvl w:val="0"/>
          <w:numId w:val="1002"/>
        </w:numPr>
      </w:pPr>
      <w:r>
        <w:t xml:space="preserve">Participar en</w:t>
      </w:r>
      <w:r>
        <w:t xml:space="preserve"> </w:t>
      </w:r>
      <w:r>
        <w:rPr>
          <w:b/>
          <w:bCs/>
        </w:rPr>
        <w:t xml:space="preserve">ligas y clasificaciones</w:t>
      </w:r>
      <w:r>
        <w:t xml:space="preserve"> </w:t>
      </w:r>
      <w:r>
        <w:t xml:space="preserve">derivadas de torneos cerrados, según reglas de cada Tienda.</w:t>
      </w:r>
    </w:p>
    <w:p>
      <w:pPr>
        <w:pStyle w:val="Compact"/>
        <w:numPr>
          <w:ilvl w:val="0"/>
          <w:numId w:val="1002"/>
        </w:numPr>
      </w:pPr>
      <w:r>
        <w:t xml:space="preserve">Enviar</w:t>
      </w:r>
      <w:r>
        <w:t xml:space="preserve"> </w:t>
      </w:r>
      <w:r>
        <w:rPr>
          <w:b/>
          <w:bCs/>
        </w:rPr>
        <w:t xml:space="preserve">sugerencias</w:t>
      </w:r>
      <w:r>
        <w:t xml:space="preserve"> </w:t>
      </w:r>
      <w:r>
        <w:t xml:space="preserve">a la Plataforma (limitadas a una por Cuenta, cuando esa función esté activa).</w:t>
      </w:r>
    </w:p>
    <w:p>
      <w:pPr>
        <w:pStyle w:val="FirstParagraph"/>
      </w:pPr>
      <w:r>
        <w:t xml:space="preserve">La Plataforma es un</w:t>
      </w:r>
      <w:r>
        <w:t xml:space="preserve"> </w:t>
      </w:r>
      <w:r>
        <w:rPr>
          <w:b/>
          <w:bCs/>
        </w:rPr>
        <w:t xml:space="preserve">medio tecnológico</w:t>
      </w:r>
      <w:r>
        <w:t xml:space="preserve">. Salvo que se indique expresamente lo contrario, las Tiendas son responsables de la operación presencial (torneos en local, recepción de correos, entrega de premios, canjes, etc.).</w:t>
      </w:r>
    </w:p>
    <w:p>
      <w:r>
        <w:pict>
          <v:rect style="width:0;height:1.5pt" o:hralign="center" o:hrstd="t" o:hr="t"/>
        </w:pict>
      </w:r>
    </w:p>
    <w:bookmarkEnd w:id="12"/>
    <w:bookmarkStart w:id="13" w:name="tienda-activa-y-contexto-multitienda"/>
    <w:p>
      <w:pPr>
        <w:pStyle w:val="Heading2"/>
      </w:pPr>
      <w:r>
        <w:t xml:space="preserve">5. Tienda activa y contexto multitienda</w:t>
      </w:r>
    </w:p>
    <w:p>
      <w:pPr>
        <w:pStyle w:val="FirstParagraph"/>
      </w:pPr>
      <w:r>
        <w:t xml:space="preserve">5.1. Muchas funciones dependen de la</w:t>
      </w:r>
      <w:r>
        <w:t xml:space="preserve"> </w:t>
      </w:r>
      <w:r>
        <w:rPr>
          <w:b/>
          <w:bCs/>
        </w:rPr>
        <w:t xml:space="preserve">Tienda activa</w:t>
      </w:r>
      <w:r>
        <w:t xml:space="preserve"> </w:t>
      </w:r>
      <w:r>
        <w:t xml:space="preserve">que selecciones en la Plataforma (por ejemplo, desde el encabezado o al visitar el hub de una Tienda en</w:t>
      </w:r>
      <w:r>
        <w:t xml:space="preserve"> </w:t>
      </w:r>
      <w:r>
        <w:rPr>
          <w:rStyle w:val="VerbatimChar"/>
        </w:rPr>
        <w:t xml:space="preserve">/{nombre-tienda}</w:t>
      </w:r>
      <w:r>
        <w:t xml:space="preserve">).</w:t>
      </w:r>
    </w:p>
    <w:p>
      <w:pPr>
        <w:pStyle w:val="BodyText"/>
      </w:pPr>
      <w:r>
        <w:t xml:space="preserve">5.2. Los datos mostrados (eventos, correos, puntos, permisos de administración) pueden variar según la Tienda. Es tu responsabilidad verificar que trabajas en la Tienda correcta antes de registrar correos, inscribirte a torneos o interpretar saldos.</w:t>
      </w:r>
    </w:p>
    <w:p>
      <w:pPr>
        <w:pStyle w:val="BodyText"/>
      </w:pPr>
      <w:r>
        <w:t xml:space="preserve">5.3. Cambiar de Tienda puede actualizar qué información ves; el Operador no garantiza que todos los módulos estén disponibles en todas las Tiendas.</w:t>
      </w:r>
    </w:p>
    <w:p>
      <w:r>
        <w:pict>
          <v:rect style="width:0;height:1.5pt" o:hralign="center" o:hrstd="t" o:hr="t"/>
        </w:pict>
      </w:r>
    </w:p>
    <w:bookmarkEnd w:id="13"/>
    <w:bookmarkStart w:id="14" w:name="eventos-torneos-y-ligas"/>
    <w:p>
      <w:pPr>
        <w:pStyle w:val="Heading2"/>
      </w:pPr>
      <w:r>
        <w:t xml:space="preserve">6. Eventos, torneos y ligas</w:t>
      </w:r>
    </w:p>
    <w:p>
      <w:pPr>
        <w:pStyle w:val="FirstParagraph"/>
      </w:pPr>
      <w:r>
        <w:t xml:space="preserve">6.1. La inscripción, asistencia, emparejamientos, resultados y premios de torneos pueden estar sujetos a</w:t>
      </w:r>
      <w:r>
        <w:t xml:space="preserve"> </w:t>
      </w:r>
      <w:r>
        <w:rPr>
          <w:b/>
          <w:bCs/>
        </w:rPr>
        <w:t xml:space="preserve">reglas adicionales</w:t>
      </w:r>
      <w:r>
        <w:t xml:space="preserve"> </w:t>
      </w:r>
      <w:r>
        <w:t xml:space="preserve">de cada Tienda o del organizador oficial del juego (por ejemplo, Play Pokémon).</w:t>
      </w:r>
    </w:p>
    <w:p>
      <w:pPr>
        <w:pStyle w:val="BodyText"/>
      </w:pPr>
      <w:r>
        <w:t xml:space="preserve">6.2. Los resultados, mesas, récords y clasificaciones publicados en la Plataforma se basan en información cargada por administradores, sistemas de importación o los propios Usuarios. El Operador</w:t>
      </w:r>
      <w:r>
        <w:t xml:space="preserve"> </w:t>
      </w:r>
      <w:r>
        <w:rPr>
          <w:b/>
          <w:bCs/>
        </w:rPr>
        <w:t xml:space="preserve">no garantiza</w:t>
      </w:r>
      <w:r>
        <w:t xml:space="preserve"> </w:t>
      </w:r>
      <w:r>
        <w:t xml:space="preserve">que estén libres de error; las Tiendas pueden corregirlos según sus procedimientos.</w:t>
      </w:r>
    </w:p>
    <w:p>
      <w:pPr>
        <w:pStyle w:val="BodyText"/>
      </w:pPr>
      <w:r>
        <w:t xml:space="preserve">6.3. Participar en torneos</w:t>
      </w:r>
      <w:r>
        <w:t xml:space="preserve"> </w:t>
      </w:r>
      <w:r>
        <w:rPr>
          <w:b/>
          <w:bCs/>
        </w:rPr>
        <w:t xml:space="preserve">en línea</w:t>
      </w:r>
      <w:r>
        <w:t xml:space="preserve"> </w:t>
      </w:r>
      <w:r>
        <w:t xml:space="preserve">o presenciales puede implicar riesgos propios del juego y del entorno digital. El Usuario participa bajo su propia responsabilidad.</w:t>
      </w:r>
    </w:p>
    <w:p>
      <w:pPr>
        <w:pStyle w:val="BodyText"/>
      </w:pPr>
      <w:r>
        <w:t xml:space="preserve">6.4. Las ligas y tablas de posiciones son</w:t>
      </w:r>
      <w:r>
        <w:t xml:space="preserve"> </w:t>
      </w:r>
      <w:r>
        <w:rPr>
          <w:b/>
          <w:bCs/>
        </w:rPr>
        <w:t xml:space="preserve">informativas</w:t>
      </w:r>
      <w:r>
        <w:t xml:space="preserve"> </w:t>
      </w:r>
      <w:r>
        <w:t xml:space="preserve">dentro de la Plataforma, salvo que una Tienda indique otro efecto en sus propias bases.</w:t>
      </w:r>
    </w:p>
    <w:p>
      <w:r>
        <w:pict>
          <v:rect style="width:0;height:1.5pt" o:hralign="center" o:hrstd="t" o:hr="t"/>
        </w:pict>
      </w:r>
    </w:p>
    <w:bookmarkEnd w:id="14"/>
    <w:bookmarkStart w:id="15" w:name="correos-físicos-y-retiro-en-tienda"/>
    <w:p>
      <w:pPr>
        <w:pStyle w:val="Heading2"/>
      </w:pPr>
      <w:r>
        <w:t xml:space="preserve">7. Correos físicos y retiro en tienda</w:t>
      </w:r>
    </w:p>
    <w:p>
      <w:pPr>
        <w:pStyle w:val="FirstParagraph"/>
      </w:pPr>
      <w:r>
        <w:t xml:space="preserve">7.1. Si utilizas el módulo de correos, entiendes que la Plataforma registra el</w:t>
      </w:r>
      <w:r>
        <w:t xml:space="preserve"> </w:t>
      </w:r>
      <w:r>
        <w:rPr>
          <w:b/>
          <w:bCs/>
        </w:rPr>
        <w:t xml:space="preserve">estado lógico</w:t>
      </w:r>
      <w:r>
        <w:t xml:space="preserve"> </w:t>
      </w:r>
      <w:r>
        <w:t xml:space="preserve">del envío (por ejemplo: registrado, recibido en tienda, retirado por el destinatario), según lo marquen Usuarios autorizados o personal de la Tienda.</w:t>
      </w:r>
    </w:p>
    <w:p>
      <w:pPr>
        <w:pStyle w:val="BodyText"/>
      </w:pPr>
      <w:r>
        <w:t xml:space="preserve">7.2. El Operador</w:t>
      </w:r>
      <w:r>
        <w:t xml:space="preserve"> </w:t>
      </w:r>
      <w:r>
        <w:rPr>
          <w:b/>
          <w:bCs/>
        </w:rPr>
        <w:t xml:space="preserve">no es transportista ni custodio</w:t>
      </w:r>
      <w:r>
        <w:t xml:space="preserve"> </w:t>
      </w:r>
      <w:r>
        <w:t xml:space="preserve">de paquetes físicos. La recepción, almacenamiento, plazos y entrega en el local son responsabilidad de la Tienda correspondiente.</w:t>
      </w:r>
    </w:p>
    <w:p>
      <w:pPr>
        <w:pStyle w:val="BodyText"/>
      </w:pPr>
      <w:r>
        <w:t xml:space="preserve">7.3. Debes presentar la identificación o código que la Tienda exija para retirar un correo. El Operador no se hace responsable por entregas indebidas si la Tienda no verifica identidad conforme a su política interna.</w:t>
      </w:r>
    </w:p>
    <w:p>
      <w:pPr>
        <w:pStyle w:val="BodyText"/>
      </w:pPr>
      <w:r>
        <w:t xml:space="preserve">7.4. Pueden existir</w:t>
      </w:r>
      <w:r>
        <w:t xml:space="preserve"> </w:t>
      </w:r>
      <w:r>
        <w:rPr>
          <w:b/>
          <w:bCs/>
        </w:rPr>
        <w:t xml:space="preserve">límites diarios</w:t>
      </w:r>
      <w:r>
        <w:t xml:space="preserve"> </w:t>
      </w:r>
      <w:r>
        <w:t xml:space="preserve">de registro de correos por Usuario o por Tienda. El incumplimiento de esos límites puede impedir nuevos registros hasta el día siguiente (según zona horaria configurada en el sistema).</w:t>
      </w:r>
    </w:p>
    <w:p>
      <w:r>
        <w:pict>
          <v:rect style="width:0;height:1.5pt" o:hralign="center" o:hrstd="t" o:hr="t"/>
        </w:pict>
      </w:r>
    </w:p>
    <w:bookmarkEnd w:id="15"/>
    <w:bookmarkStart w:id="16" w:name="crédito-puntos-y-promociones-de-tienda"/>
    <w:p>
      <w:pPr>
        <w:pStyle w:val="Heading2"/>
      </w:pPr>
      <w:r>
        <w:t xml:space="preserve">8. Crédito, puntos y promociones de tienda</w:t>
      </w:r>
    </w:p>
    <w:p>
      <w:pPr>
        <w:pStyle w:val="FirstParagraph"/>
      </w:pPr>
      <w:r>
        <w:t xml:space="preserve">8.1. Los puntos o crédito mostrados pueden equivaler a beneficios en la Tienda (por ejemplo, canje por productos), según las reglas que esa Tienda comunique</w:t>
      </w:r>
      <w:r>
        <w:t xml:space="preserve"> </w:t>
      </w:r>
      <w:r>
        <w:rPr>
          <w:b/>
          <w:bCs/>
        </w:rPr>
        <w:t xml:space="preserve">fuera o dentro</w:t>
      </w:r>
      <w:r>
        <w:t xml:space="preserve"> </w:t>
      </w:r>
      <w:r>
        <w:t xml:space="preserve">de la Plataforma.</w:t>
      </w:r>
    </w:p>
    <w:p>
      <w:pPr>
        <w:pStyle w:val="BodyText"/>
      </w:pPr>
      <w:r>
        <w:t xml:space="preserve">8.2. Los saldos, vencimientos y movimientos pueden importarse o ajustarse por la Tienda o el Operador en caso de error demostrable.</w:t>
      </w:r>
    </w:p>
    <w:p>
      <w:pPr>
        <w:pStyle w:val="BodyText"/>
      </w:pPr>
      <w:r>
        <w:t xml:space="preserve">8.3. Los puntos</w:t>
      </w:r>
      <w:r>
        <w:t xml:space="preserve"> </w:t>
      </w:r>
      <w:r>
        <w:rPr>
          <w:b/>
          <w:bCs/>
        </w:rPr>
        <w:t xml:space="preserve">no constituyen dinero electrónico</w:t>
      </w:r>
      <w:r>
        <w:t xml:space="preserve"> </w:t>
      </w:r>
      <w:r>
        <w:t xml:space="preserve">ni depósito bancario, salvo que la Tienda indique expresamente otro régimen conforme a la ley.</w:t>
      </w:r>
    </w:p>
    <w:p>
      <w:r>
        <w:pict>
          <v:rect style="width:0;height:1.5pt" o:hralign="center" o:hrstd="t" o:hr="t"/>
        </w:pict>
      </w:r>
    </w:p>
    <w:bookmarkEnd w:id="16"/>
    <w:bookmarkStart w:id="17" w:name="mazos-decklists-y-contenido-público"/>
    <w:p>
      <w:pPr>
        <w:pStyle w:val="Heading2"/>
      </w:pPr>
      <w:r>
        <w:t xml:space="preserve">9. Mazos (</w:t>
      </w:r>
      <w:r>
        <w:rPr>
          <w:i/>
          <w:iCs/>
        </w:rPr>
        <w:t xml:space="preserve">decklists</w:t>
      </w:r>
      <w:r>
        <w:t xml:space="preserve">) y contenido público</w:t>
      </w:r>
    </w:p>
    <w:p>
      <w:pPr>
        <w:pStyle w:val="FirstParagraph"/>
      </w:pPr>
      <w:r>
        <w:t xml:space="preserve">9.1. Conservas los derechos sobre el Contenido del Usuario que subas, pero otorgas al Operador y a las Tiendas (en la medida necesaria para operar el servicio) una</w:t>
      </w:r>
      <w:r>
        <w:t xml:space="preserve"> </w:t>
      </w:r>
      <w:r>
        <w:rPr>
          <w:b/>
          <w:bCs/>
        </w:rPr>
        <w:t xml:space="preserve">licencia no exclusiva, mundial, gratuita y sublicenciable</w:t>
      </w:r>
      <w:r>
        <w:t xml:space="preserve"> </w:t>
      </w:r>
      <w:r>
        <w:t xml:space="preserve">para alojar, mostrar, reproducir y distribuir ese contenido dentro de la Plataforma.</w:t>
      </w:r>
    </w:p>
    <w:p>
      <w:pPr>
        <w:pStyle w:val="BodyText"/>
      </w:pPr>
      <w:r>
        <w:t xml:space="preserve">9.2. Si marcas un mazo como</w:t>
      </w:r>
      <w:r>
        <w:t xml:space="preserve"> </w:t>
      </w:r>
      <w:r>
        <w:rPr>
          <w:b/>
          <w:bCs/>
        </w:rPr>
        <w:t xml:space="preserve">público</w:t>
      </w:r>
      <w:r>
        <w:t xml:space="preserve">, otros Usuarios registrados podrán verlo según las funciones de la Plataforma. No publiques contenido de terceros sin derecho.</w:t>
      </w:r>
    </w:p>
    <w:p>
      <w:pPr>
        <w:pStyle w:val="BodyText"/>
      </w:pPr>
      <w:r>
        <w:t xml:space="preserve">9.3. El Operador puede retirar Contenido del Usuario que infrinja estos Términos, derechos de terceros o la ley, o que sea reportado razonablemente.</w:t>
      </w:r>
    </w:p>
    <w:p>
      <w:pPr>
        <w:pStyle w:val="BodyText"/>
      </w:pPr>
      <w:r>
        <w:t xml:space="preserve">9.4. Las imágenes de cartas o recursos de terceros (por ejemplo, sprites o datos de proveedores externos) pueden estar sujetos a</w:t>
      </w:r>
      <w:r>
        <w:t xml:space="preserve"> </w:t>
      </w:r>
      <w:r>
        <w:rPr>
          <w:b/>
          <w:bCs/>
        </w:rPr>
        <w:t xml:space="preserve">derechos de sus titulares</w:t>
      </w:r>
      <w:r>
        <w:t xml:space="preserve">. La Plataforma no afilia ni patrocina a esos titulares salvo mención expresa.</w:t>
      </w:r>
    </w:p>
    <w:p>
      <w:r>
        <w:pict>
          <v:rect style="width:0;height:1.5pt" o:hralign="center" o:hrstd="t" o:hr="t"/>
        </w:pict>
      </w:r>
    </w:p>
    <w:bookmarkEnd w:id="17"/>
    <w:bookmarkStart w:id="18" w:name="sugerencias-y-comentarios"/>
    <w:p>
      <w:pPr>
        <w:pStyle w:val="Heading2"/>
      </w:pPr>
      <w:r>
        <w:t xml:space="preserve">10. Sugerencias y comentarios</w:t>
      </w:r>
    </w:p>
    <w:p>
      <w:pPr>
        <w:pStyle w:val="FirstParagraph"/>
      </w:pPr>
      <w:r>
        <w:t xml:space="preserve">10.1. Si envías una sugerencia a través de la Plataforma, aceptas que puede ser</w:t>
      </w:r>
      <w:r>
        <w:t xml:space="preserve"> </w:t>
      </w:r>
      <w:r>
        <w:rPr>
          <w:b/>
          <w:bCs/>
        </w:rPr>
        <w:t xml:space="preserve">una sola por Cuenta</w:t>
      </w:r>
      <w:r>
        <w:t xml:space="preserve"> </w:t>
      </w:r>
      <w:r>
        <w:t xml:space="preserve">y que el Operador puede usarla para mejorar el servicio</w:t>
      </w:r>
      <w:r>
        <w:t xml:space="preserve"> </w:t>
      </w:r>
      <w:r>
        <w:rPr>
          <w:b/>
          <w:bCs/>
        </w:rPr>
        <w:t xml:space="preserve">sin obligación de compensación</w:t>
      </w:r>
      <w:r>
        <w:t xml:space="preserve"> </w:t>
      </w:r>
      <w:r>
        <w:t xml:space="preserve">ni de implementarla.</w:t>
      </w:r>
    </w:p>
    <w:p>
      <w:pPr>
        <w:pStyle w:val="BodyText"/>
      </w:pPr>
      <w:r>
        <w:t xml:space="preserve">10.2. No envíes información confidencial o propiedad exclusiva que no desees tratar como no confidencial.</w:t>
      </w:r>
    </w:p>
    <w:p>
      <w:r>
        <w:pict>
          <v:rect style="width:0;height:1.5pt" o:hralign="center" o:hrstd="t" o:hr="t"/>
        </w:pict>
      </w:r>
    </w:p>
    <w:bookmarkEnd w:id="18"/>
    <w:bookmarkStart w:id="19" w:name="conducta-prohibida"/>
    <w:p>
      <w:pPr>
        <w:pStyle w:val="Heading2"/>
      </w:pPr>
      <w:r>
        <w:t xml:space="preserve">11. Conducta prohibida</w:t>
      </w:r>
    </w:p>
    <w:p>
      <w:pPr>
        <w:pStyle w:val="FirstParagraph"/>
      </w:pPr>
      <w:r>
        <w:t xml:space="preserve">Queda prohibido, entre otros:</w:t>
      </w:r>
    </w:p>
    <w:p>
      <w:pPr>
        <w:pStyle w:val="Compact"/>
        <w:numPr>
          <w:ilvl w:val="0"/>
          <w:numId w:val="1003"/>
        </w:numPr>
      </w:pPr>
      <w:r>
        <w:t xml:space="preserve">Usar la Plataforma con fines ilegales, fraudulentos o que vulneren derechos de terceros.</w:t>
      </w:r>
    </w:p>
    <w:p>
      <w:pPr>
        <w:pStyle w:val="Compact"/>
        <w:numPr>
          <w:ilvl w:val="0"/>
          <w:numId w:val="1003"/>
        </w:numPr>
      </w:pPr>
      <w:r>
        <w:t xml:space="preserve">Suplantar identidad, falsear RUT, ID de jugador u otros datos.</w:t>
      </w:r>
    </w:p>
    <w:p>
      <w:pPr>
        <w:pStyle w:val="Compact"/>
        <w:numPr>
          <w:ilvl w:val="0"/>
          <w:numId w:val="1003"/>
        </w:numPr>
      </w:pPr>
      <w:r>
        <w:t xml:space="preserve">Intentar acceder sin autorización a cuentas, APIs, bases de datos o áreas de administración.</w:t>
      </w:r>
    </w:p>
    <w:p>
      <w:pPr>
        <w:pStyle w:val="Compact"/>
        <w:numPr>
          <w:ilvl w:val="0"/>
          <w:numId w:val="1003"/>
        </w:numPr>
      </w:pPr>
      <w:r>
        <w:t xml:space="preserve">Sobrecargar, rastrear o interferir con el funcionamiento de la Plataforma (</w:t>
      </w:r>
      <w:r>
        <w:rPr>
          <w:i/>
          <w:iCs/>
        </w:rPr>
        <w:t xml:space="preserve">scraping</w:t>
      </w:r>
      <w:r>
        <w:t xml:space="preserve"> </w:t>
      </w:r>
      <w:r>
        <w:t xml:space="preserve">masivo no autorizado, bots abusivos, etc.).</w:t>
      </w:r>
    </w:p>
    <w:p>
      <w:pPr>
        <w:pStyle w:val="Compact"/>
        <w:numPr>
          <w:ilvl w:val="0"/>
          <w:numId w:val="1003"/>
        </w:numPr>
      </w:pPr>
      <w:r>
        <w:t xml:space="preserve">Acosar, amenazar o discriminar a otros Usuarios o al personal de las Tiendas.</w:t>
      </w:r>
    </w:p>
    <w:p>
      <w:pPr>
        <w:pStyle w:val="Compact"/>
        <w:numPr>
          <w:ilvl w:val="0"/>
          <w:numId w:val="1003"/>
        </w:numPr>
      </w:pPr>
      <w:r>
        <w:t xml:space="preserve">Publicar contenido ofensivo, difamatorio, sexual explícito no permitido por la ley, o que promueva violencia.</w:t>
      </w:r>
    </w:p>
    <w:p>
      <w:pPr>
        <w:pStyle w:val="Compact"/>
        <w:numPr>
          <w:ilvl w:val="0"/>
          <w:numId w:val="1003"/>
        </w:numPr>
      </w:pPr>
      <w:r>
        <w:t xml:space="preserve">Eludir límites técnicos (cuotas de correo, una sugerencia por cuenta, etc.).</w:t>
      </w:r>
    </w:p>
    <w:p>
      <w:pPr>
        <w:pStyle w:val="FirstParagraph"/>
      </w:pPr>
      <w:r>
        <w:t xml:space="preserve">El Operador y las Tiendas con permisos de administración pueden tomar medidas, incluida la suspensión de la Cuenta, ante incumplimientos.</w:t>
      </w:r>
    </w:p>
    <w:p>
      <w:r>
        <w:pict>
          <v:rect style="width:0;height:1.5pt" o:hralign="center" o:hrstd="t" o:hr="t"/>
        </w:pict>
      </w:r>
    </w:p>
    <w:bookmarkEnd w:id="19"/>
    <w:bookmarkStart w:id="20" w:name="roles-de-administración"/>
    <w:p>
      <w:pPr>
        <w:pStyle w:val="Heading2"/>
      </w:pPr>
      <w:r>
        <w:t xml:space="preserve">12. Roles de administración</w:t>
      </w:r>
    </w:p>
    <w:p>
      <w:pPr>
        <w:pStyle w:val="FirstParagraph"/>
      </w:pPr>
      <w:r>
        <w:t xml:space="preserve">12.1. Algunos Usuarios pueden tener rol de</w:t>
      </w:r>
      <w:r>
        <w:t xml:space="preserve"> </w:t>
      </w:r>
      <w:r>
        <w:rPr>
          <w:b/>
          <w:bCs/>
        </w:rPr>
        <w:t xml:space="preserve">administrador de tienda</w:t>
      </w:r>
      <w:r>
        <w:t xml:space="preserve"> </w:t>
      </w:r>
      <w:r>
        <w:t xml:space="preserve">u</w:t>
      </w:r>
      <w:r>
        <w:t xml:space="preserve"> </w:t>
      </w:r>
      <w:r>
        <w:rPr>
          <w:b/>
          <w:bCs/>
        </w:rPr>
        <w:t xml:space="preserve">owner</w:t>
      </w:r>
      <w:r>
        <w:t xml:space="preserve"> </w:t>
      </w:r>
      <w:r>
        <w:t xml:space="preserve">(propietario de tienda en la Plataforma), con permisos para gestionar eventos, correos, usuarios o configuración.</w:t>
      </w:r>
    </w:p>
    <w:p>
      <w:pPr>
        <w:pStyle w:val="BodyText"/>
      </w:pPr>
      <w:r>
        <w:t xml:space="preserve">12.2. Quien actúe como administrador declara hacerlo con facultades reales de la Tienda y acepta responsabilidad por sus actos dentro de la Plataforma (publicar resultados, confirmar correos, etc.).</w:t>
      </w:r>
    </w:p>
    <w:p>
      <w:r>
        <w:pict>
          <v:rect style="width:0;height:1.5pt" o:hralign="center" o:hrstd="t" o:hr="t"/>
        </w:pict>
      </w:r>
    </w:p>
    <w:bookmarkEnd w:id="20"/>
    <w:bookmarkStart w:id="21" w:name="propiedad-intelectual-de-la-plataforma"/>
    <w:p>
      <w:pPr>
        <w:pStyle w:val="Heading2"/>
      </w:pPr>
      <w:r>
        <w:t xml:space="preserve">13. Propiedad intelectual de la Plataforma</w:t>
      </w:r>
    </w:p>
    <w:p>
      <w:pPr>
        <w:pStyle w:val="FirstParagraph"/>
      </w:pPr>
      <w:r>
        <w:t xml:space="preserve">13.1. El software, diseño, marca</w:t>
      </w:r>
      <w:r>
        <w:t xml:space="preserve"> </w:t>
      </w:r>
      <w:r>
        <w:rPr>
          <w:b/>
          <w:bCs/>
        </w:rPr>
        <w:t xml:space="preserve">TCG Nexo</w:t>
      </w:r>
      <w:r>
        <w:t xml:space="preserve">, logotipos del Operador y elementos propios de la Plataforma están protegidos por la legislación aplicable. No se concede licencia alguna salvo el uso permitido por estos Términos.</w:t>
      </w:r>
    </w:p>
    <w:p>
      <w:pPr>
        <w:pStyle w:val="BodyText"/>
      </w:pPr>
      <w:r>
        <w:t xml:space="preserve">13.2. No puedes copiar, modificar, descompilar ni explotar comercialmente la Plataforma sin autorización escrita del Operador.</w:t>
      </w:r>
    </w:p>
    <w:p>
      <w:r>
        <w:pict>
          <v:rect style="width:0;height:1.5pt" o:hralign="center" o:hrstd="t" o:hr="t"/>
        </w:pict>
      </w:r>
    </w:p>
    <w:bookmarkEnd w:id="21"/>
    <w:bookmarkStart w:id="22" w:name="privacidad-y-datos-personales"/>
    <w:p>
      <w:pPr>
        <w:pStyle w:val="Heading2"/>
      </w:pPr>
      <w:r>
        <w:t xml:space="preserve">14. Privacidad y datos personales</w:t>
      </w:r>
    </w:p>
    <w:p>
      <w:pPr>
        <w:pStyle w:val="FirstParagraph"/>
      </w:pPr>
      <w:r>
        <w:t xml:space="preserve">El tratamiento de datos personales se rige por la</w:t>
      </w:r>
      <w:r>
        <w:t xml:space="preserve"> </w:t>
      </w:r>
      <w:r>
        <w:rPr>
          <w:b/>
          <w:bCs/>
        </w:rPr>
        <w:t xml:space="preserve">[Política de Privacidad]</w:t>
      </w:r>
      <w:r>
        <w:t xml:space="preserve"> </w:t>
      </w:r>
      <w:r>
        <w:t xml:space="preserve">del Operador, disponible en</w:t>
      </w:r>
      <w:r>
        <w:t xml:space="preserve"> </w:t>
      </w:r>
      <w:r>
        <w:rPr>
          <w:b/>
          <w:bCs/>
        </w:rPr>
        <w:t xml:space="preserve">[URL]</w:t>
      </w:r>
      <w:r>
        <w:t xml:space="preserve">, la cual forma parte integrante de estos Términos por referencia.</w:t>
      </w:r>
    </w:p>
    <w:p>
      <w:pPr>
        <w:pStyle w:val="BodyText"/>
      </w:pPr>
      <w:r>
        <w:t xml:space="preserve">En general, la Plataforma puede tratar datos como nombre, correo, identificadores de juego, historial de torneos, correos registrados y sugerencias, para prestar el servicio, seguridad y mejora del producto, conforme a la ley chilena de protección de datos personales (Ley N° 19.628 y normativa que la complemente o la reemplace) u otra ley aplicable según tu residencia.</w:t>
      </w:r>
    </w:p>
    <w:p>
      <w:r>
        <w:pict>
          <v:rect style="width:0;height:1.5pt" o:hralign="center" o:hrstd="t" o:hr="t"/>
        </w:pict>
      </w:r>
    </w:p>
    <w:bookmarkEnd w:id="22"/>
    <w:bookmarkStart w:id="23" w:name="disponibilidad-cambios-y-mantenimiento"/>
    <w:p>
      <w:pPr>
        <w:pStyle w:val="Heading2"/>
      </w:pPr>
      <w:r>
        <w:t xml:space="preserve">15. Disponibilidad, cambios y mantenimiento</w:t>
      </w:r>
    </w:p>
    <w:p>
      <w:pPr>
        <w:pStyle w:val="FirstParagraph"/>
      </w:pPr>
      <w:r>
        <w:t xml:space="preserve">15.1. La Plataforma se ofrece</w:t>
      </w:r>
      <w:r>
        <w:t xml:space="preserve"> </w:t>
      </w:r>
      <w:r>
        <w:rPr>
          <w:b/>
          <w:bCs/>
        </w:rPr>
        <w:t xml:space="preserve">“tal cual”</w:t>
      </w:r>
      <w:r>
        <w:t xml:space="preserve"> </w:t>
      </w:r>
      <w:r>
        <w:t xml:space="preserve">y</w:t>
      </w:r>
      <w:r>
        <w:t xml:space="preserve"> </w:t>
      </w:r>
      <w:r>
        <w:rPr>
          <w:b/>
          <w:bCs/>
        </w:rPr>
        <w:t xml:space="preserve">“según disponibilidad”</w:t>
      </w:r>
      <w:r>
        <w:t xml:space="preserve">. Puede haber interrupciones por mantenimiento, fallas de terceros (hosting, correo, almacenamiento) o fuerza mayor.</w:t>
      </w:r>
    </w:p>
    <w:p>
      <w:pPr>
        <w:pStyle w:val="BodyText"/>
      </w:pPr>
      <w:r>
        <w:t xml:space="preserve">15.2. El Operador puede</w:t>
      </w:r>
      <w:r>
        <w:t xml:space="preserve"> </w:t>
      </w:r>
      <w:r>
        <w:rPr>
          <w:b/>
          <w:bCs/>
        </w:rPr>
        <w:t xml:space="preserve">modificar, suspender o discontinuar</w:t>
      </w:r>
      <w:r>
        <w:t xml:space="preserve"> </w:t>
      </w:r>
      <w:r>
        <w:t xml:space="preserve">funciones o estos Términos. Los cambios materiales se comunicarán por medios razonables (aviso en la Plataforma o correo). El uso continuado tras la vigencia de cambios implica aceptación, salvo que la ley exija otro procedimiento.</w:t>
      </w:r>
    </w:p>
    <w:p>
      <w:r>
        <w:pict>
          <v:rect style="width:0;height:1.5pt" o:hralign="center" o:hrstd="t" o:hr="t"/>
        </w:pict>
      </w:r>
    </w:p>
    <w:bookmarkEnd w:id="23"/>
    <w:bookmarkStart w:id="24" w:name="enlaces-y-servicios-de-terceros"/>
    <w:p>
      <w:pPr>
        <w:pStyle w:val="Heading2"/>
      </w:pPr>
      <w:r>
        <w:t xml:space="preserve">16. Enlaces y servicios de terceros</w:t>
      </w:r>
    </w:p>
    <w:p>
      <w:pPr>
        <w:pStyle w:val="FirstParagraph"/>
      </w:pPr>
      <w:r>
        <w:t xml:space="preserve">La Plataforma puede integrar inicio de sesión con terceros (por ejemplo, Google), almacenamiento en la nube, envío de correos electrónicos u otros proveedores. Esos servicios se rigen por sus propios términos. El Operador no controla ni responde por ellos.</w:t>
      </w:r>
    </w:p>
    <w:p>
      <w:r>
        <w:pict>
          <v:rect style="width:0;height:1.5pt" o:hralign="center" o:hrstd="t" o:hr="t"/>
        </w:pict>
      </w:r>
    </w:p>
    <w:bookmarkEnd w:id="24"/>
    <w:bookmarkStart w:id="25" w:name="limitación-de-responsabilidad"/>
    <w:p>
      <w:pPr>
        <w:pStyle w:val="Heading2"/>
      </w:pPr>
      <w:r>
        <w:t xml:space="preserve">17. Limitación de responsabilidad</w:t>
      </w:r>
    </w:p>
    <w:p>
      <w:pPr>
        <w:pStyle w:val="FirstParagraph"/>
      </w:pPr>
      <w:r>
        <w:t xml:space="preserve">En la máxima medida permitida por la ley aplicable:</w:t>
      </w:r>
    </w:p>
    <w:p>
      <w:pPr>
        <w:pStyle w:val="BodyText"/>
      </w:pPr>
      <w:r>
        <w:t xml:space="preserve">17.1. El Operador</w:t>
      </w:r>
      <w:r>
        <w:t xml:space="preserve"> </w:t>
      </w:r>
      <w:r>
        <w:rPr>
          <w:b/>
          <w:bCs/>
        </w:rPr>
        <w:t xml:space="preserve">no será responsable</w:t>
      </w:r>
      <w:r>
        <w:t xml:space="preserve"> </w:t>
      </w:r>
      <w:r>
        <w:t xml:space="preserve">por daños indirectos, lucro cesante, pérdida de datos o daños derivados de: (a) uso o imposibilidad de uso de la Plataforma; (b) actos u omisiones de Tiendas o de otros Usuarios; (c) paquetes físicos, torneos presenciales u online, o canjes; (d) errores en clasificaciones o puntos, salvo dolo o culpa grave del Operador.</w:t>
      </w:r>
    </w:p>
    <w:p>
      <w:pPr>
        <w:pStyle w:val="BodyText"/>
      </w:pPr>
      <w:r>
        <w:t xml:space="preserve">17.2. La responsabilidad total del Operador por reclamos relacionados con la Plataforma se limitará, en su caso, al</w:t>
      </w:r>
      <w:r>
        <w:t xml:space="preserve"> </w:t>
      </w:r>
      <w:r>
        <w:rPr>
          <w:b/>
          <w:bCs/>
        </w:rPr>
        <w:t xml:space="preserve">monto que hayas pagado al Operador por el servicio en los últimos doce (12) meses</w:t>
      </w:r>
      <w:r>
        <w:t xml:space="preserve">, o a</w:t>
      </w:r>
      <w:r>
        <w:t xml:space="preserve"> </w:t>
      </w:r>
      <w:r>
        <w:rPr>
          <w:b/>
          <w:bCs/>
        </w:rPr>
        <w:t xml:space="preserve">[monto mínimo legal / CLP XXX]</w:t>
      </w:r>
      <w:r>
        <w:t xml:space="preserve">, lo que sea mayor según permita la ley. Si el servicio es gratuito para el Usuario, la limitación aplicará en el máximo permitido para servicios sin contraprestación.</w:t>
      </w:r>
    </w:p>
    <w:p>
      <w:pPr>
        <w:pStyle w:val="BodyText"/>
      </w:pPr>
      <w:r>
        <w:t xml:space="preserve">17.3. Nada en estos Términos limita derechos irrenunciables del consumidor cuando la ley aplicable lo prohíba.</w:t>
      </w:r>
    </w:p>
    <w:p>
      <w:r>
        <w:pict>
          <v:rect style="width:0;height:1.5pt" o:hralign="center" o:hrstd="t" o:hr="t"/>
        </w:pict>
      </w:r>
    </w:p>
    <w:bookmarkEnd w:id="25"/>
    <w:bookmarkStart w:id="26" w:name="indemnización"/>
    <w:p>
      <w:pPr>
        <w:pStyle w:val="Heading2"/>
      </w:pPr>
      <w:r>
        <w:t xml:space="preserve">18. Indemnización</w:t>
      </w:r>
    </w:p>
    <w:p>
      <w:pPr>
        <w:pStyle w:val="FirstParagraph"/>
      </w:pPr>
      <w:r>
        <w:t xml:space="preserve">Aceptas mantener indemne al Operador, sus directores, empleados y colaboradores frente a reclamos de terceros derivados de: (i) tu uso de la Plataforma; (ii) tu Contenido del Usuario; (iii) incumplimiento de estos Términos; o (iv) violación de derechos de terceros, en la medida permitida por la ley.</w:t>
      </w:r>
    </w:p>
    <w:p>
      <w:r>
        <w:pict>
          <v:rect style="width:0;height:1.5pt" o:hralign="center" o:hrstd="t" o:hr="t"/>
        </w:pict>
      </w:r>
    </w:p>
    <w:bookmarkEnd w:id="26"/>
    <w:bookmarkStart w:id="27" w:name="terminación"/>
    <w:p>
      <w:pPr>
        <w:pStyle w:val="Heading2"/>
      </w:pPr>
      <w:r>
        <w:t xml:space="preserve">19. Terminación</w:t>
      </w:r>
    </w:p>
    <w:p>
      <w:pPr>
        <w:pStyle w:val="FirstParagraph"/>
      </w:pPr>
      <w:r>
        <w:t xml:space="preserve">19.1. Puedes dejar de usar la Plataforma y solicitar el cierre de tu Cuenta escribiendo a</w:t>
      </w:r>
      <w:r>
        <w:t xml:space="preserve"> </w:t>
      </w:r>
      <w:r>
        <w:rPr>
          <w:b/>
          <w:bCs/>
        </w:rPr>
        <w:t xml:space="preserve">[correo de soporte]</w:t>
      </w:r>
      <w:r>
        <w:t xml:space="preserve">.</w:t>
      </w:r>
    </w:p>
    <w:p>
      <w:pPr>
        <w:pStyle w:val="BodyText"/>
      </w:pPr>
      <w:r>
        <w:t xml:space="preserve">19.2. El Operador puede suspender o terminar tu acceso con o sin aviso previo si incumples estos Términos o por razones de seguridad.</w:t>
      </w:r>
    </w:p>
    <w:p>
      <w:pPr>
        <w:pStyle w:val="BodyText"/>
      </w:pPr>
      <w:r>
        <w:t xml:space="preserve">19.3. Las cláusulas que por su naturaleza deban sobrevivir (propiedad intelectual, limitación de responsabilidad, ley aplicable) permanecerán vigentes.</w:t>
      </w:r>
    </w:p>
    <w:p>
      <w:r>
        <w:pict>
          <v:rect style="width:0;height:1.5pt" o:hralign="center" o:hrstd="t" o:hr="t"/>
        </w:pict>
      </w:r>
    </w:p>
    <w:bookmarkEnd w:id="27"/>
    <w:bookmarkStart w:id="28" w:name="ley-aplicable-y-jurisdicción"/>
    <w:p>
      <w:pPr>
        <w:pStyle w:val="Heading2"/>
      </w:pPr>
      <w:r>
        <w:t xml:space="preserve">20. Ley aplicable y jurisdicción</w:t>
      </w:r>
    </w:p>
    <w:p>
      <w:pPr>
        <w:pStyle w:val="FirstParagraph"/>
      </w:pPr>
      <w:r>
        <w:t xml:space="preserve">Estos Términos se rigen por las</w:t>
      </w:r>
      <w:r>
        <w:t xml:space="preserve"> </w:t>
      </w:r>
      <w:r>
        <w:rPr>
          <w:b/>
          <w:bCs/>
        </w:rPr>
        <w:t xml:space="preserve">leyes de la República de Chile</w:t>
      </w:r>
      <w:r>
        <w:t xml:space="preserve">, sin perjuicio de normas imperativas de protección al consumidor en tu país de residencia si te aplican.</w:t>
      </w:r>
    </w:p>
    <w:p>
      <w:pPr>
        <w:pStyle w:val="BodyText"/>
      </w:pPr>
      <w:r>
        <w:t xml:space="preserve">Cualquier controversia se someterá a los</w:t>
      </w:r>
      <w:r>
        <w:t xml:space="preserve"> </w:t>
      </w:r>
      <w:r>
        <w:rPr>
          <w:b/>
          <w:bCs/>
        </w:rPr>
        <w:t xml:space="preserve">tribunales ordinarios de justicia de [ciudad, Chile]</w:t>
      </w:r>
      <w:r>
        <w:t xml:space="preserve">, salvo que la ley disponga un fuerto imperativo distinto.</w:t>
      </w:r>
    </w:p>
    <w:p>
      <w:r>
        <w:pict>
          <v:rect style="width:0;height:1.5pt" o:hralign="center" o:hrstd="t" o:hr="t"/>
        </w:pict>
      </w:r>
    </w:p>
    <w:bookmarkEnd w:id="28"/>
    <w:bookmarkStart w:id="29" w:name="contacto"/>
    <w:p>
      <w:pPr>
        <w:pStyle w:val="Heading2"/>
      </w:pPr>
      <w:r>
        <w:t xml:space="preserve">21. Contacto</w:t>
      </w:r>
    </w:p>
    <w:p>
      <w:pPr>
        <w:pStyle w:val="FirstParagraph"/>
      </w:pPr>
      <w:r>
        <w:t xml:space="preserve">Para consultas sobre estos Términos: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Correo</w:t>
            </w:r>
          </w:p>
        </w:tc>
        <w:tc>
          <w:tcPr/>
          <w:p>
            <w:pPr>
              <w:pStyle w:val="Compact"/>
            </w:pPr>
            <w:r>
              <w:t xml:space="preserve">[soporte@ejemplo.cl]</w:t>
            </w:r>
          </w:p>
        </w:tc>
      </w:tr>
      <w:tr>
        <w:tc>
          <w:tcPr/>
          <w:p>
            <w:pPr>
              <w:pStyle w:val="Compact"/>
            </w:pPr>
            <w:r>
              <w:t xml:space="preserve">Operador</w:t>
            </w:r>
          </w:p>
        </w:tc>
        <w:tc>
          <w:tcPr/>
          <w:p>
            <w:pPr>
              <w:pStyle w:val="Compact"/>
            </w:pPr>
            <w:r>
              <w:t xml:space="preserve">[Razón social]</w:t>
            </w:r>
          </w:p>
        </w:tc>
      </w:tr>
      <w:tr>
        <w:tc>
          <w:tcPr/>
          <w:p>
            <w:pPr>
              <w:pStyle w:val="Compact"/>
            </w:pPr>
            <w:r>
              <w:t xml:space="preserve">RUT</w:t>
            </w:r>
          </w:p>
        </w:tc>
        <w:tc>
          <w:tcPr/>
          <w:p>
            <w:pPr>
              <w:pStyle w:val="Compact"/>
            </w:pPr>
            <w:r>
              <w:t xml:space="preserve">[RUT]</w:t>
            </w:r>
          </w:p>
        </w:tc>
      </w:tr>
      <w:tr>
        <w:tc>
          <w:tcPr/>
          <w:p>
            <w:pPr>
              <w:pStyle w:val="Compact"/>
            </w:pPr>
            <w:r>
              <w:t xml:space="preserve">Dirección</w:t>
            </w:r>
          </w:p>
        </w:tc>
        <w:tc>
          <w:tcPr/>
          <w:p>
            <w:pPr>
              <w:pStyle w:val="Compact"/>
            </w:pPr>
            <w:r>
              <w:t xml:space="preserve">[Dirección completa]</w:t>
            </w:r>
          </w:p>
        </w:tc>
      </w:tr>
    </w:tbl>
    <w:p>
      <w:r>
        <w:pict>
          <v:rect style="width:0;height:1.5pt" o:hralign="center" o:hrstd="t" o:hr="t"/>
        </w:pict>
      </w:r>
    </w:p>
    <w:bookmarkEnd w:id="29"/>
    <w:bookmarkStart w:id="30" w:name="aceptación"/>
    <w:p>
      <w:pPr>
        <w:pStyle w:val="Heading2"/>
      </w:pPr>
      <w:r>
        <w:t xml:space="preserve">22. Aceptación</w:t>
      </w:r>
    </w:p>
    <w:p>
      <w:pPr>
        <w:pStyle w:val="FirstParagraph"/>
      </w:pPr>
      <w:r>
        <w:t xml:space="preserve">Al registrarte o continuar usando TCG Nexo, confirmas que has leído y aceptado estos Términos y la Política de Privacidad vigente.</w:t>
      </w:r>
    </w:p>
    <w:p>
      <w:r>
        <w:pict>
          <v:rect style="width:0;height:1.5pt" o:hralign="center" o:hrstd="t" o:hr="t"/>
        </w:pict>
      </w:r>
    </w:p>
    <w:bookmarkEnd w:id="30"/>
    <w:bookmarkStart w:id="33" w:name="anexo-datos-pendientes-de-completar"/>
    <w:p>
      <w:pPr>
        <w:pStyle w:val="Heading2"/>
      </w:pPr>
      <w:r>
        <w:t xml:space="preserve">Anexo: datos pendientes de completar</w:t>
      </w:r>
    </w:p>
    <w:p>
      <w:pPr>
        <w:pStyle w:val="FirstParagraph"/>
      </w:pPr>
      <w:r>
        <w:t xml:space="preserve">Antes de publicar, reemplazar todos los placeholders:</w:t>
      </w:r>
    </w:p>
    <w:p>
      <w:pPr>
        <w:pStyle w:val="Compact"/>
        <w:numPr>
          <w:ilvl w:val="0"/>
          <w:numId w:val="1004"/>
        </w:numPr>
      </w:pPr>
      <w:r>
        <w:rPr>
          <w:rStyle w:val="VerbatimChar"/>
        </w:rPr>
        <w:t xml:space="preserve">[RAZÓN SOCIAL]</w:t>
      </w:r>
      <w:r>
        <w:t xml:space="preserve">,</w:t>
      </w:r>
      <w:r>
        <w:t xml:space="preserve"> </w:t>
      </w:r>
      <w:r>
        <w:rPr>
          <w:rStyle w:val="VerbatimChar"/>
        </w:rPr>
        <w:t xml:space="preserve">[RUT]</w:t>
      </w:r>
      <w:r>
        <w:t xml:space="preserve">,</w:t>
      </w:r>
      <w:r>
        <w:t xml:space="preserve"> </w:t>
      </w:r>
      <w:r>
        <w:rPr>
          <w:rStyle w:val="VerbatimChar"/>
        </w:rPr>
        <w:t xml:space="preserve">[CIUDAD, PAÍS]</w:t>
      </w:r>
    </w:p>
    <w:p>
      <w:pPr>
        <w:pStyle w:val="Compact"/>
        <w:numPr>
          <w:ilvl w:val="0"/>
          <w:numId w:val="1004"/>
        </w:numPr>
      </w:pPr>
      <w:r>
        <w:rPr>
          <w:rStyle w:val="VerbatimChar"/>
        </w:rPr>
        <w:t xml:space="preserve">[Política de Privacidad]</w:t>
      </w:r>
      <w:r>
        <w:t xml:space="preserve"> </w:t>
      </w:r>
      <w:r>
        <w:t xml:space="preserve">y</w:t>
      </w:r>
      <w:r>
        <w:t xml:space="preserve"> </w:t>
      </w:r>
      <w:r>
        <w:rPr>
          <w:rStyle w:val="VerbatimChar"/>
        </w:rPr>
        <w:t xml:space="preserve">[URL]</w:t>
      </w:r>
    </w:p>
    <w:p>
      <w:pPr>
        <w:pStyle w:val="Compact"/>
        <w:numPr>
          <w:ilvl w:val="0"/>
          <w:numId w:val="1004"/>
        </w:numPr>
      </w:pPr>
      <w:r>
        <w:rPr>
          <w:rStyle w:val="VerbatimChar"/>
        </w:rPr>
        <w:t xml:space="preserve">[correo de soporte]</w:t>
      </w:r>
    </w:p>
    <w:p>
      <w:pPr>
        <w:pStyle w:val="Compact"/>
        <w:numPr>
          <w:ilvl w:val="0"/>
          <w:numId w:val="1004"/>
        </w:numPr>
      </w:pPr>
      <w:r>
        <w:rPr>
          <w:rStyle w:val="VerbatimChar"/>
        </w:rPr>
        <w:t xml:space="preserve">[ciudad, Chile]</w:t>
      </w:r>
    </w:p>
    <w:p>
      <w:pPr>
        <w:pStyle w:val="Compact"/>
        <w:numPr>
          <w:ilvl w:val="0"/>
          <w:numId w:val="1004"/>
        </w:numPr>
      </w:pPr>
      <w:r>
        <w:t xml:space="preserve">Fecha de última actualización</w:t>
      </w:r>
    </w:p>
    <w:bookmarkStart w:id="32" w:name="exportar-a-word"/>
    <w:p>
      <w:pPr>
        <w:pStyle w:val="Heading3"/>
      </w:pPr>
      <w:r>
        <w:t xml:space="preserve">Exportar a Word</w:t>
      </w:r>
    </w:p>
    <w:p>
      <w:pPr>
        <w:pStyle w:val="FirstParagraph"/>
      </w:pPr>
      <w:r>
        <w:t xml:space="preserve">Desde este archivo puedes generar un</w:t>
      </w:r>
      <w:r>
        <w:t xml:space="preserve"> </w:t>
      </w:r>
      <w:r>
        <w:rPr>
          <w:rStyle w:val="VerbatimChar"/>
        </w:rPr>
        <w:t xml:space="preserve">.docx</w:t>
      </w:r>
      <w:r>
        <w:t xml:space="preserve"> </w:t>
      </w:r>
      <w:r>
        <w:t xml:space="preserve">con</w:t>
      </w:r>
      <w:r>
        <w:t xml:space="preserve"> </w:t>
      </w:r>
      <w:hyperlink r:id="rId31">
        <w:r>
          <w:rPr>
            <w:rStyle w:val="Hyperlink"/>
          </w:rPr>
          <w:t xml:space="preserve">Pandoc</w:t>
        </w:r>
      </w:hyperlink>
      <w:r>
        <w:t xml:space="preserve">:</w:t>
      </w:r>
    </w:p>
    <w:p>
      <w:pPr>
        <w:pStyle w:val="SourceCode"/>
      </w:pPr>
      <w:r>
        <w:rPr>
          <w:rStyle w:val="ExtensionTok"/>
        </w:rPr>
        <w:t xml:space="preserve">pandoc</w:t>
      </w:r>
      <w:r>
        <w:rPr>
          <w:rStyle w:val="NormalTok"/>
        </w:rPr>
        <w:t xml:space="preserve"> docs/TERMINOS-DE-USO.md </w:t>
      </w:r>
      <w:r>
        <w:rPr>
          <w:rStyle w:val="AttributeTok"/>
        </w:rPr>
        <w:t xml:space="preserve">-o</w:t>
      </w:r>
      <w:r>
        <w:rPr>
          <w:rStyle w:val="NormalTok"/>
        </w:rPr>
        <w:t xml:space="preserve"> docs/TERMINOS-DE-USO.docx</w:t>
      </w:r>
    </w:p>
    <w:p>
      <w:pPr>
        <w:pStyle w:val="FirstParagraph"/>
      </w:pPr>
      <w:r>
        <w:t xml:space="preserve">O abrir el Markdown en Google Docs / Word (versiones recientes importan</w:t>
      </w:r>
      <w:r>
        <w:t xml:space="preserve"> </w:t>
      </w:r>
      <w:r>
        <w:rPr>
          <w:rStyle w:val="VerbatimChar"/>
        </w:rPr>
        <w:t xml:space="preserve">.md</w:t>
      </w:r>
      <w:r>
        <w:t xml:space="preserve"> </w:t>
      </w:r>
      <w:r>
        <w:t xml:space="preserve">directamente).</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pandoc.org/" TargetMode="External" /></Relationships>
</file>

<file path=word/_rels/footnotes.xml.rels><?xml version="1.0" encoding="UTF-8"?><Relationships xmlns="http://schemas.openxmlformats.org/package/2006/relationships"><Relationship Type="http://schemas.openxmlformats.org/officeDocument/2006/relationships/hyperlink" Id="rId31" Target="https://pando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2026-05-17T18:54:38Z</dcterms:created>
  <dcterms:modified xsi:type="dcterms:W3CDTF">2026-05-17T18:54:38Z</dcterms:modified>
</cp:coreProperties>
</file>

<file path=docProps/custom.xml><?xml version="1.0" encoding="utf-8"?>
<Properties xmlns="http://schemas.openxmlformats.org/officeDocument/2006/custom-properties" xmlns:vt="http://schemas.openxmlformats.org/officeDocument/2006/docPropsVTypes"/>
</file>