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20"/>
        <w:jc w:val="center"/>
      </w:pPr>
      <w:r>
        <w:rPr>
          <w:b/>
          <w:bCs/>
          <w:color w:val="14192B"/>
          <w:sz w:val="56"/>
          <w:szCs w:val="56"/>
        </w:rPr>
        <w:t xml:space="preserve">SolarAgent Pro</w:t>
      </w:r>
    </w:p>
    <w:p>
      <w:pPr>
        <w:spacing w:after="40"/>
        <w:jc w:val="center"/>
      </w:pPr>
      <w:r>
        <w:rPr>
          <w:color w:val="5C6478"/>
          <w:sz w:val="30"/>
          <w:szCs w:val="30"/>
        </w:rPr>
        <w:t xml:space="preserve">Software Requirements Specification</w:t>
      </w:r>
    </w:p>
    <w:p>
      <w:pPr>
        <w:spacing w:after="500"/>
        <w:jc w:val="center"/>
      </w:pPr>
      <w:r>
        <w:rPr>
          <w:color w:val="5C6478"/>
          <w:sz w:val="30"/>
          <w:szCs w:val="30"/>
        </w:rPr>
        <w:t xml:space="preserve">&amp; Project Initiation Document</w:t>
      </w:r>
    </w:p>
    <w:p>
      <w:pPr>
        <w:spacing w:after="900"/>
        <w:jc w:val="center"/>
      </w:pPr>
      <w:r>
        <w:rPr>
          <w:b/>
          <w:bCs/>
          <w:color w:val="E8A93A"/>
          <w:sz w:val="22"/>
          <w:szCs w:val="22"/>
        </w:rPr>
        <w:t xml:space="preserve">WEEK 1 DELIVERABLE  —  INITIATION &amp; SRS</w:t>
      </w:r>
    </w:p>
    <w:p>
      <w:pPr>
        <w:spacing w:after="40"/>
        <w:jc w:val="center"/>
      </w:pPr>
      <w:r>
        <w:rPr>
          <w:color w:val="5C6478"/>
          <w:sz w:val="20"/>
          <w:szCs w:val="20"/>
        </w:rPr>
        <w:t xml:space="preserve">Prepared by</w:t>
      </w:r>
    </w:p>
    <w:p>
      <w:pPr>
        <w:jc w:val="center"/>
      </w:pPr>
      <w:r>
        <w:rPr>
          <w:b/>
          <w:bCs/>
          <w:color w:val="14192B"/>
          <w:sz w:val="24"/>
          <w:szCs w:val="24"/>
        </w:rPr>
        <w:t xml:space="preserve">Razu Sarder</w:t>
      </w:r>
    </w:p>
    <w:p>
      <w:pPr>
        <w:spacing w:after="40"/>
        <w:jc w:val="center"/>
      </w:pPr>
      <w:r>
        <w:rPr>
          <w:color w:val="5C6478"/>
          <w:sz w:val="19"/>
          <w:szCs w:val="19"/>
        </w:rPr>
        <w:t xml:space="preserve">Student ID 220220 · Batch 22</w:t>
      </w:r>
    </w:p>
    <w:p>
      <w:pPr>
        <w:spacing w:after="40"/>
        <w:jc w:val="center"/>
      </w:pPr>
      <w:r>
        <w:rPr>
          <w:color w:val="5C6478"/>
          <w:sz w:val="19"/>
          <w:szCs w:val="19"/>
        </w:rPr>
        <w:t xml:space="preserve">Department of Computer Science &amp; Engineering, Khulna University</w:t>
      </w:r>
    </w:p>
    <w:p>
      <w:pPr>
        <w:spacing w:after="700"/>
        <w:jc w:val="center"/>
      </w:pPr>
      <w:r>
        <w:rPr>
          <w:i/>
          <w:iCs/>
          <w:color w:val="5C6478"/>
          <w:sz w:val="17"/>
          <w:szCs w:val="17"/>
        </w:rPr>
        <w:t xml:space="preserve">Course: [ course name / code ]  ·  Supervisor: [ if applicable ]</w:t>
      </w:r>
    </w:p>
    <w:p>
      <w:pPr>
        <w:jc w:val="center"/>
      </w:pPr>
      <w:r>
        <w:rPr>
          <w:color w:val="5C6478"/>
          <w:sz w:val="18"/>
          <w:szCs w:val="18"/>
        </w:rPr>
        <w:t xml:space="preserve">Version 1.0  ·  August 17, 2026</w:t>
      </w:r>
    </w:p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Project Initiation</w:t>
      </w:r>
    </w:p>
    <w:p>
      <w:pPr>
        <w:pStyle w:val="Heading2"/>
        <w:spacing w:after="140" w:before="280"/>
      </w:pPr>
      <w:r>
        <w:t xml:space="preserve">1.1 Introduction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SolarAgent Pro is an AI-guided solar energy consultation system that takes a homeowner or shop owner from an initial expression of interest — “I want solar” — through to a complete, numerically grounded installation plan: site suitability, energy load, system sizing, exact components, a cost range, and a step-by-step installation roadmap. The system pairs five deterministic engineering calculation engines with a conversational AI agent, so that every number the user sees traces back to a specific, auditable calculation rather than to the language model’s own estimate.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records the Week 1 deliverables of the project’s initiation phase: scope, objectives, and roles; the Software Requirements Specification (Section 2); and the initial repository and task-list setup that Week 2 onward builds on (Sections 3–4).</w:t>
      </w:r>
    </w:p>
    <w:p>
      <w:pPr>
        <w:pStyle w:val="Heading2"/>
        <w:spacing w:after="140" w:before="280"/>
      </w:pPr>
      <w:r>
        <w:t xml:space="preserve">1.2 Project Scope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scope below reflects what has actually been implemented and verified as of this document’s date, not an aspirational target — every in-scope item was built, run, and checked against real inputs during development. Anything not yet integrated is listed explicitly as future work rather than left ambiguous.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C6478"/>
          <w:sz w:val="19"/>
          <w:szCs w:val="19"/>
        </w:rPr>
        <w:t xml:space="preserve">Figure 1.1 — Project scope: implemented v1 functionality vs. future work</w:t>
      </w:r>
    </w:p>
    <w:p>
      <w:pPr>
        <w:pStyle w:val="Heading2"/>
        <w:spacing w:after="140" w:before="280"/>
      </w:pPr>
      <w:r>
        <w:t xml:space="preserve">1.3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O1 — Reduce the expertise barrier to a preliminary solar system design from “requires a site engineer” to “a guided conversation,” without sacrificing calculation rigor.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O2 — Ground every numeric output (energy, sizing, cost, payback) in an explicit, inspectable formula rather than an LLM estimate, so results are reproducible and auditable.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O3 — Deliver a working full-stack reference implementation (FastAPI + React) that a developer can run locally within about 10 minutes of extracting the repository.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O4 — Produce documentation and diagrams to a standard suitable for academic submission and for onboarding a new contributor without a walkthrough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O5 — Establish a repeatable, AI-assisted development workflow (the “Agentic Engineering Development Lifecycle,” Section 1.6) that can be evaluated and refined across the remaining five weeks of the project.</w:t>
      </w:r>
    </w:p>
    <w:p>
      <w:pPr>
        <w:spacing w:after="160"/>
      </w:pPr>
    </w:p>
    <w:p>
      <w:pPr>
        <w:pStyle w:val="Heading2"/>
        <w:spacing w:after="140" w:before="280"/>
      </w:pPr>
      <w:r>
        <w:t xml:space="preserve">1.4 Roles &amp; Responsibilities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Table 1.1 below is shown as a diagram for readability; roles marked with a placeholder are included so this document is directly reusable for a team submission — fill in a name or remove the row if the project remains solo.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C6478"/>
          <w:sz w:val="19"/>
          <w:szCs w:val="19"/>
        </w:rPr>
        <w:t xml:space="preserve">Figure 1.2 — Project roles and responsibilities</w:t>
      </w:r>
    </w:p>
    <w:p>
      <w:pPr>
        <w:pStyle w:val="Heading2"/>
        <w:spacing w:after="140" w:before="280"/>
      </w:pPr>
      <w:r>
        <w:t xml:space="preserve">1.5 Project Timeline Overview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six-week plan below is the one this document itself follows. Week 1 (this deliverable) is complete; Weeks 2–6 are planned and scoped in Section 1.6.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C6478"/>
          <w:sz w:val="19"/>
          <w:szCs w:val="19"/>
        </w:rPr>
        <w:t xml:space="preserve">Figure 1.3 — Six-week project timeline and current status</w:t>
      </w:r>
    </w:p>
    <w:p>
      <w:pPr>
        <w:pStyle w:val="Heading2"/>
        <w:spacing w:after="140" w:before="280"/>
      </w:pPr>
      <w:r>
        <w:t xml:space="preserve">1.6 AI-Assisted Development Methodology (AEDL)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project follows a hybrid Agentic Engineering Development Lifecycle (AEDL): a standard six-week SDLC structure (initiation → design → two development sprints, a compressed Agile cadence) in which an AI assistant (Claude) is used deliberately at every stage — not merely for isolated code snippets, but for requirement drafting, full-stack implementation, test scaffolding, documentation, and sprint reporting — while the human developer retains ownership of scope decisions, architectural review, and final acceptance. Table 1.2 maps each week’s planned AI-assisted activity to this project’s actual artifact.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8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Planned AI-Assisted Activity</w:t>
            </w:r>
          </w:p>
        </w:tc>
        <w:tc>
          <w:tcPr>
            <w:tcW w:type="dxa" w:w="40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This Project’s Artifact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AI-assisted requirement writing; AI generates README &amp; task list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This SRS; README.md; docs/initial_task_list.md; CONTRIBUTING.md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AI design tools for wireframes; AI auto-generates architecture diagrams (ER, flowcharts)</w:t>
            </w:r>
          </w:p>
        </w:tc>
        <w:tc>
          <w:tcPr>
            <w:tcW w:type="dxa" w:w="4000"/>
            <w:shd w:fill="F1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Planned next — not yet started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3–4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AI (Copilot-style) code scaffolding; AI-generated unit tests &amp; weekly progress summaries</w:t>
            </w:r>
          </w:p>
        </w:tc>
        <w:tc>
          <w:tcPr>
            <w:tcW w:type="dxa" w:w="4000"/>
            <w:shd w:fill="F1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Planned — core engines/agent/UI already implemented ahead of schedule; formal sprint framing pending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5–6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AI monitors sprint velocity, suggests backlog adjustments; AI-generated retrospectives</w:t>
            </w:r>
          </w:p>
        </w:tc>
        <w:tc>
          <w:tcPr>
            <w:tcW w:type="dxa" w:w="4000"/>
            <w:shd w:fill="F1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Planned — not yet started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Note: because the AEDL approach front-loaded a working implementation during scoping conversations, several Sprint 1 code deliverables (the five calculation engines, the tool-calling agent, and the React UI) already exist ahead of the Week 3–4 slot in which the original plan places them. Section 4 reconciles this by marking those backlog items “Done” rather than re-scheduling already-complete work.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Software Requirements Specification</w:t>
      </w:r>
    </w:p>
    <w:p>
      <w:pPr>
        <w:pStyle w:val="Heading2"/>
        <w:spacing w:after="140" w:before="280"/>
      </w:pPr>
      <w:r>
        <w:t xml:space="preserve">2.1 Introduction</w:t>
      </w:r>
    </w:p>
    <w:p>
      <w:pPr>
        <w:pStyle w:val="Heading3"/>
        <w:spacing w:after="100" w:before="220"/>
      </w:pPr>
      <w:r>
        <w:t xml:space="preserve">2.1.1 Purpose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Software Requirements Specification defines the functional and non-functional requirements for SolarAgent Pro v1, as actually implemented in the backend (FastAPI, Python) and frontend (React, Vite, Tailwind) delivered alongside this document. It is written to IEEE 830-style conventions, adapted for a project of this scale, and is intended to serve both as a specification a reader can trace directly to the shipped code, and as the requirements baseline for Weeks 2 through 6.</w:t>
      </w:r>
    </w:p>
    <w:p>
      <w:pPr>
        <w:pStyle w:val="Heading3"/>
        <w:spacing w:after="100" w:before="220"/>
      </w:pPr>
      <w:r>
        <w:t xml:space="preserve">2.1.2 Document Conventions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Functional requirements are numbered FR-1 through FR-10 and grouped by the engine or module that implements them. Non-functional requirements are numbered NFR-1 through NFR-6. Priority is expressed as High / Medium / Low, where High indicates the requirement is on the critical path for a usable end-to-end plan.</w:t>
      </w:r>
    </w:p>
    <w:p>
      <w:pPr>
        <w:pStyle w:val="Heading3"/>
        <w:spacing w:after="100" w:before="220"/>
      </w:pPr>
      <w:r>
        <w:t xml:space="preserve">2.1.3 Intended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project developer — as a design and implementation 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course instructor or evaluator — for requirements traceability against the delivered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Any future contributor — extending the system in Weeks 2–6 and beyond.</w:t>
      </w:r>
    </w:p>
    <w:p>
      <w:pPr>
        <w:spacing w:after="120"/>
      </w:pPr>
    </w:p>
    <w:p>
      <w:pPr>
        <w:pStyle w:val="Heading3"/>
        <w:spacing w:after="100" w:before="220"/>
      </w:pPr>
      <w:r>
        <w:t xml:space="preserve">2.1.4 Scope of Product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See Section 1.2 and Figure 1.1.</w:t>
      </w:r>
    </w:p>
    <w:p>
      <w:pPr>
        <w:pStyle w:val="Heading3"/>
        <w:spacing w:after="100" w:before="220"/>
      </w:pPr>
      <w:r>
        <w:t xml:space="preserve">2.1.5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IEEE Std 830-1998, Recommended Practice for Software Requirements Specifications.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Anthropic, Claude API documentation — platform.claude.com/docs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Project repository — solaragent-pro (see README.md for setup).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2.2 Overall Description</w:t>
      </w:r>
    </w:p>
    <w:p>
      <w:pPr>
        <w:pStyle w:val="Heading3"/>
        <w:spacing w:after="100" w:before="220"/>
      </w:pPr>
      <w:r>
        <w:t xml:space="preserve">2.2.1 Product Perspective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SolarAgent Pro is a new, standalone system — it does not replace or integrate with an existing product. It depends on exactly one external service for its conversational layer (the Anthropic Claude API) and is designed so that a second external dependency (a live weather/irradiance API) can be added later without changing any other component, as shown in Figure 2.1.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C6478"/>
          <w:sz w:val="19"/>
          <w:szCs w:val="19"/>
        </w:rPr>
        <w:t xml:space="preserve">Figure 2.1 — System context diagram (Level 0)</w:t>
      </w:r>
    </w:p>
    <w:p>
      <w:pPr>
        <w:pStyle w:val="Heading3"/>
        <w:spacing w:after="100" w:before="220"/>
      </w:pPr>
      <w:r>
        <w:t xml:space="preserve">2.2.2 Product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Estimate site solar resource and score installation suitability.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Calculate daily energy consumption and peak load from an appliance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Size a PV array and, where applicable, a battery bank.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Recommend specific components (panels, inverter, battery, mounting, BOS).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Estimate installed cost range and payback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Generate an installation roadmap with safety and maintenance guidance.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Provide a conversational agent that explains and answers questions about the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Generate a downloadable report.</w:t>
      </w:r>
    </w:p>
    <w:p>
      <w:pPr>
        <w:spacing w:after="120"/>
      </w:pPr>
    </w:p>
    <w:p>
      <w:pPr>
        <w:pStyle w:val="Heading3"/>
        <w:spacing w:after="100" w:before="220"/>
      </w:pPr>
      <w:r>
        <w:t xml:space="preserve">2.2.3 User Classes and Characteristics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Primary user class: a homeowner or small-shop owner considering solar, with no assumed technical or electrical-engineering background. The system is designed to be usable end-to-end by this class without external help, per Objective O1. No secondary or administrative user class exists in v1 (see NFR-3 and the Out-of-Scope items in Figure 1.1 regarding authentication).</w:t>
      </w:r>
    </w:p>
    <w:p>
      <w:pPr>
        <w:pStyle w:val="Heading3"/>
        <w:spacing w:after="100" w:before="220"/>
      </w:pPr>
      <w:r>
        <w:t xml:space="preserve">2.2.4 Operating Environment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Backend: any environment capable of running Python 3.10+ and Uvicorn. Frontend: any modern evergreen browser, served as a static Vite build. There is no mobile-native runtime; the web UI is responsive down to mobile viewport widths.</w:t>
      </w:r>
    </w:p>
    <w:p>
      <w:pPr>
        <w:pStyle w:val="Heading3"/>
        <w:spacing w:after="100" w:before="220"/>
      </w:pPr>
      <w:r>
        <w:t xml:space="preserve">2.2.5 Design and Implementation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Must use the Anthropic Claude API (Messages API, Python SDK) for the conversational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Numeric outputs must derive from deterministic Python functions, never from unvalidated model output — a self-imposed constraint driving the tool-calling architecture (see FR-7).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cloud-vendor-specific services, to keep the reference implementation portable (NFR-6).</w:t>
      </w:r>
    </w:p>
    <w:p>
      <w:pPr>
        <w:spacing w:after="120"/>
      </w:pPr>
    </w:p>
    <w:p>
      <w:pPr>
        <w:pStyle w:val="Heading3"/>
        <w:spacing w:after="100" w:before="220"/>
      </w:pPr>
      <w:r>
        <w:t xml:space="preserve">2.2.6 Assumptions and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Assumes the operator supplies a valid Anthropic API key at deployment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Assumes the built-in irradiance/tariff estimation model is acceptable for preliminary planning; final designs are assumed to be validated by a licensed electrician/engineer against local code (this is stated explicitly to the end user in-product).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Assumes single-instance deployment for v1 (in-memory session store; see NFR-2).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2.3 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3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1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Module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FR-1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Accept country, city, roof type, roof area, shading, and building type; estimate peak sun-hours, average temperature and tariff; compute a 0–100 suitability score with contributing factors.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High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7"/>
                <w:szCs w:val="17"/>
              </w:rPr>
              <w:t xml:space="preserve">engines/site_analysis.py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FR-2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Accept an appliance list (name, power, hours/day, quantity, simultaneity flag) and compute daily energy (kWh/day) and estimated peak load (W) using a diversity factor.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High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7"/>
                <w:szCs w:val="17"/>
              </w:rPr>
              <w:t xml:space="preserve">engines/energy_engine.py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FR-3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Compute required PV array size (kW) via the peak-sun-hour method, and required battery capacity (kWh) via depth-of-discharge and autonomy-day targets for hybrid/off-grid modes.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High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7"/>
                <w:szCs w:val="17"/>
              </w:rPr>
              <w:t xml:space="preserve">engines/energy_engine.py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FR-4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Recommend panel tier/count/wattage, inverter type/size, battery chemistry/voltage/capacity, mounting structure, and balance-of-system items.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High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7"/>
                <w:szCs w:val="17"/>
              </w:rPr>
              <w:t xml:space="preserve">engines/component_engine.py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FR-5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Compute installed-cost range, estimated annual generation and savings, and payback period.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High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7"/>
                <w:szCs w:val="17"/>
              </w:rPr>
              <w:t xml:space="preserve">engines/cost_engine.py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FR-6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Generate a phased installation roadmap, safety notes, common mistakes, and a maintenance schedule, adapted to the selected system mode.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Medium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7"/>
                <w:szCs w:val="17"/>
              </w:rPr>
              <w:t xml:space="preserve">engines/roadmap_engine.py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FR-7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Provide a chat interface backed by an LLM agent that calls FR-1–FR-6 as tools, explains results in plain and technical language, asks clarifying questions, and never states a figure not derived from a tool call.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High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7"/>
                <w:szCs w:val="17"/>
              </w:rPr>
              <w:t xml:space="preserve">agent.py, system_prompt.py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FR-8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Generate a downloadable report (PDF via backend, HTML via live demo) summarizing site analysis, design, cost, and roadmap.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Medium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7"/>
                <w:szCs w:val="17"/>
              </w:rPr>
              <w:t xml:space="preserve">report_generator.py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FR-9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Allow an optional roof-photo upload, passed to the AI agent as visual context.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Low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7"/>
                <w:szCs w:val="17"/>
              </w:rPr>
              <w:t xml:space="preserve">frontend + agent.py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FR-10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Support toggling between dark and light visual themes.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Low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7"/>
                <w:szCs w:val="17"/>
              </w:rPr>
              <w:t xml:space="preserve">frontend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t xml:space="preserve">2.4 Use Cases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C6478"/>
          <w:sz w:val="19"/>
          <w:szCs w:val="19"/>
        </w:rPr>
        <w:t xml:space="preserve">Figure 2.2 — Use case diagram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34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Main Flow</w:t>
            </w:r>
          </w:p>
        </w:tc>
        <w:tc>
          <w:tcPr>
            <w:tcW w:type="dxa" w:w="16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Postcondition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UC-1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Submit Site Details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Session created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User enters country, city, roof type, area, shading, building type and submits.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7"/>
                <w:szCs w:val="17"/>
              </w:rPr>
              <w:t xml:space="preserve">Suitability + resource estimate available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UC-2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Submit Appliance Load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Site details submitted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User adds appliances (presets or manual), selects system mode &amp; autonomy days.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7"/>
                <w:szCs w:val="17"/>
              </w:rPr>
              <w:t xml:space="preserve">Full design, cost, roadmap computed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UC-3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View Results Dashboard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Load submitted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System displays suitability gauge, system design, cost, and roadmap.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7"/>
                <w:szCs w:val="17"/>
              </w:rPr>
              <w:t xml:space="preserve">User has a complete plan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UC-4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Chat with AI Engineer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Session exists (site/load optional)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User asks a question; agent calls relevant tools and/or grounds its answer in existing session data.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7"/>
                <w:szCs w:val="17"/>
              </w:rPr>
              <w:t xml:space="preserve">User receives a grounded explanation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UC-5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Download Report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Design computed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User requests the report; system generates a PDF (backend) or HTML (live demo).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7"/>
                <w:szCs w:val="17"/>
              </w:rPr>
              <w:t xml:space="preserve">User has a downloadable file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t xml:space="preserve">2.5 External Interface Requirements</w:t>
      </w:r>
    </w:p>
    <w:p>
      <w:pPr>
        <w:pStyle w:val="Heading3"/>
        <w:spacing w:after="100" w:before="220"/>
      </w:pPr>
      <w:r>
        <w:t xml:space="preserve">2.5.1 User Interfaces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responsive web UI (React): structured forms for site and load input, a results dashboard, and a chat panel, with dark/light theming.</w:t>
      </w:r>
    </w:p>
    <w:p>
      <w:pPr>
        <w:pStyle w:val="Heading3"/>
        <w:spacing w:after="100" w:before="220"/>
      </w:pPr>
      <w:r>
        <w:t xml:space="preserve">2.5.2 Software Interfaces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Anthropic Messages API (HTTPS/JSON) via the official Python SDK, with the model configurable through an environment variable. Frontend-to-backend communication is REST/JSON over HTTP with CORS enabled for the configured origin.</w:t>
      </w:r>
    </w:p>
    <w:p>
      <w:pPr>
        <w:pStyle w:val="Heading3"/>
        <w:spacing w:after="100" w:before="220"/>
      </w:pPr>
      <w:r>
        <w:t xml:space="preserve">2.5.3 Hardware Interfaces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None specific — a standard client device capable of running a modern browser.</w:t>
      </w:r>
    </w:p>
    <w:p>
      <w:pPr>
        <w:pStyle w:val="Heading3"/>
        <w:spacing w:after="100" w:before="220"/>
      </w:pPr>
      <w:r>
        <w:t xml:space="preserve">2.5.4 Communication Interfaces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HTTPS to the Anthropic API; HTTP between frontend and backend in local development (HTTPS recommended for any real deployment).</w:t>
      </w:r>
    </w:p>
    <w:p>
      <w:pPr>
        <w:pStyle w:val="Heading2"/>
        <w:spacing w:after="140" w:before="280"/>
      </w:pPr>
      <w:r>
        <w:t xml:space="preserve">2.6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8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NFR-1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Deterministic engine calculations complete in well under 100 ms; conversational turns are bounded by LLM API latency plus a hard cap of 6 tool-loop iterations to prevent runaway calls.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NFR-2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All five engines are pure functions (identical input → identical output), giving reproducible results. The current session store is in-memory only and does not survive a backend restart — flagged for hardening in a later sprint.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NFR-3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Security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No authentication is implemented in v1. The Anthropic API key lives server-side only and is never exposed to the frontend. CORS is restricted to configured origins.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NFR-4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Usability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Responsive layout for mobile and desktop. Every suitability score is shown with its contributing factors, never as a bare number. The agent's system prompt requires plain-language explanations alongside technical detail.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NFR-5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Each engine is isolated with no cross-dependencies beyond explicit function parameters — e.g. the irradiance model can be replaced with a live weather API without touching sizing, cost, or roadmap logic.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NFR-6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Backend is a standard FastAPI/Uvicorn service; frontend is a standard Vite/React static build. Neither depends on a specific cloud vendor.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t xml:space="preserve">2.7 Data Requirements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Session state (site input, computed site analysis, load input, energy/design/cost/roadmap results, and conversation history) is held per session in the backend’s SessionStore. No personally identifying information is collected beyond what the user voluntarily enters into the site/load forms or chat, and no data is persisted beyond process memory in v1 (see NFR-2 and the Out-of-Scope items in Figure 1.1).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GitHub Repository &amp; Contribution Setup</w:t>
      </w:r>
    </w:p>
    <w:p>
      <w:pPr>
        <w:pStyle w:val="Heading2"/>
        <w:spacing w:after="140" w:before="280"/>
      </w:pPr>
      <w:r>
        <w:t xml:space="preserve">3.1 Repository Structure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repository is organized as two independently runnable applications sharing one methodology, plus documentation and a standalone demo: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backend/  —  FastAPI service: app/main.py (routes), app/agent.py (tool-calling agent), app/engines/ (five calculation engines), app/report_generator.py (PDF).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frontend/  —  React + Vite + Tailwind: src/components/ (forms, dashboard, chat), src/context/ (session state), src/api.js (backend client).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docs/  —  example_conversations.md, sample_report.md, initial_task_list.md, and this SRS.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live-demo/  —  a self-contained single-file version for zero-setup evaluation.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.github/  —  pull request template.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3.2 Branching Strategy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project uses GitHub Flow rather than full GitFlow, since a six-week project of this size does not benefit from GitFlow’s release/hotfix branch overhead: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main is always in a runnable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New work happens on feature/&lt;short-description&gt; or fix/&lt;short-description&gt; branches cut from 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Work merges back to main via Pull Request, even for a solo contributor — this preserves the PR description and review-comment trail as part of the project’s documentation.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3.3 Commit Message Convention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Commits follow the Conventional Commits format — &lt;type&gt;: &lt;short imperative description&gt; — so the history itself is a readable changelog: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feat: — a new capability (e.g. “feat: add battery sizing to energy engine”)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fix: — a bug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docs: — documentation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refactor: — code change with no behavior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test: — adding or updating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chore: — tooling, dependencies, config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3.4 Contribution Guidelines Summary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Full guidelines live in CONTRIBUTING.md at the repository root. In summary: branch from main, keep PRs scoped to one logical change, run the relevant app locally before opening a PR (see README.md “Quick start”), and fill in the PR template’s checklist.</w:t>
      </w:r>
    </w:p>
    <w:p>
      <w:pPr>
        <w:pStyle w:val="Heading2"/>
        <w:spacing w:after="140" w:before="280"/>
      </w:pPr>
      <w:r>
        <w:t xml:space="preserve">3.5 Code Review Process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Every PR is reviewed against a short checklist before merge: does it run locally as described; are new environment variables documented in the relevant .env.example; if behavior changed, was README.md or this SRS updated to match; and — specific to this project’s architecture — does any new numeric output trace to an engine function rather than to unvalidated model output (per FR-7 and the constraint in Section 2.2.5).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Initial Task List (Week 1 Output)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is the seed backlog Week 2 will load into a GitHub Projects board. It is intentionally an epic-level summary; the granular, board-ready version lives in docs/initial_task_list.md so it can be copied directly into GitHub Issues.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Epic</w:t>
            </w:r>
          </w:p>
        </w:tc>
        <w:tc>
          <w:tcPr>
            <w:tcW w:type="dxa" w:w="30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5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2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6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E1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Site analysis engine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Wk 1–2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E2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Load &amp; sizing engine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Wk 1–2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E3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Component &amp; cost engines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Wk 3–4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E4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Tool-calling conversational agent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Wk 3–4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E5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React frontend (forms, dashboard, chat)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Wk 3–4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E6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PDF/HTML report generation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Wk 5–6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shd w:fill="EAF3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E7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UI wireframes &amp; architecture diagrams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Wk 2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shd w:fill="F1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E8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GitHub Projects board configuration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Wk 2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shd w:fill="F1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E9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Authentication &amp; persistent session store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Wk 5–6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shd w:fill="F1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E10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Live weather API integration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Post-Wk 6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shd w:fill="F1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E11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Automated test suite for engines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Wk 5–6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shd w:fill="F1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Appendix A: Glossary &amp; Acronyms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2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SRS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Software Requirements Specification.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PSH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Peak Sun-Hours — the number of hours per day at which solar irradiance would need to be 1,000 W/m² to deliver the day’s actual total irradiation.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DoD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Depth of Discharge — the fraction of a battery’s capacity usable before recharging.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BOS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Balance of System — every component in an installation other than panels, inverter, and battery (cabling, protection devices, mounting, etc.).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MPPT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Maximum Power Point Tracking — a charge-controller technique that maximizes power draw from a PV array.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LiFePO4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Lithium Iron Phosphate — a lithium battery chemistry favored for solar storage for its safety and cycle life.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kW / kWp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Kilowatt / kilowatt-peak — unit of PV array rated capacity.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BOM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Bill of Materials.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REST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Representational State Transfer — the API architecture style used by the backend.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CORS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Cross-Origin Resource Sharing.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Appendix B: Document Revision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2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000"/>
            <w:shd w:fill="141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August 17, 2026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Razu Sarder / Claude (AI-assisted)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Initial Week 1 SRS &amp; Project Initiation Document.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1.1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9"/>
                <w:szCs w:val="19"/>
              </w:rPr>
              <w:t xml:space="preserve">August 18, 2026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Razu Sarder / Claude (AI-assisted)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92B"/>
                <w:sz w:val="18"/>
                <w:szCs w:val="18"/>
              </w:rPr>
              <w:t xml:space="preserve">Added Acknowledgement section.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Acknowledgement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project was completed with the support of several tools and technologies. Each is acknowledged briefly below, along with the reason it was chosen.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Claude (Anthropic) — used for AI-assisted requirement drafting, code generation, and documentation throughout this project (Section 1.6), chosen for its tool-calling capability, which lets the agent ground every answer in a real calculation rather than a guess.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GitHub — used for version control and the pull-request review workflow described in CONTRIBUTING.md, chosen for its ubiquity and traceable change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FastAPI (Python) — used for the backend API, chosen for built-in request validation and automatic interactive API documentation.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React, Vite &amp; Tailwind CSS — used for the frontend, chosen for fast component-based development and consistent design-system styling.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Anthropic Claude API (Messages API) — powers the conversational agent itself, distinct from Claude's use as a development assistant above, chosen specifically for its structured tool-use support (FR-7).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matplotlib &amp; docx (Node.js) — used to generate this document and its diagrams as code, chosen to keep them reproducible and easy to update as the project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reportlab (Python) — used for the in-app PDF report feature, chosen for lightweight PDF generation without a browser-rendering dependency.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9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419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E8A93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C6478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6e2f478e89d1c9bf5168a77d15746ce519e095d.png"/><Relationship Id="rId8" Type="http://schemas.openxmlformats.org/officeDocument/2006/relationships/image" Target="media/6a8a56afe36e4b1992dcd294c23d3cf11c829178.png"/><Relationship Id="rId9" Type="http://schemas.openxmlformats.org/officeDocument/2006/relationships/image" Target="media/a9202573a3c897077a176965fa0e3031c384b80e.png"/><Relationship Id="rId10" Type="http://schemas.openxmlformats.org/officeDocument/2006/relationships/image" Target="media/af7581f1d98ec928a72a28233bbe505f091ab9fb.png"/><Relationship Id="rId11" Type="http://schemas.openxmlformats.org/officeDocument/2006/relationships/image" Target="media/4b2bea54078c89493e786c6da5f9b891d185bf9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2026-08-18T04:25:36.888Z</dcterms:created>
  <dcterms:modified xsi:type="dcterms:W3CDTF">2026-08-18T04:25:36.907Z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