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954A7">
      <w:pPr>
        <w:pStyle w:val="15"/>
        <w:spacing w:after="100"/>
      </w:pPr>
      <w:r>
        <w:t>SolarAgent Pro  Design &amp; Planning</w:t>
      </w:r>
    </w:p>
    <w:p w14:paraId="478B34D5">
      <w:pPr>
        <w:spacing w:after="120"/>
      </w:pPr>
      <w:r>
        <w:rPr>
          <w:i/>
          <w:iCs/>
          <w:color w:val="555555"/>
        </w:rPr>
        <w:t>Architecture diagrams, UI wireframes, and GitHub Projects board configuration, building on the Week 1 SRS (Section 1.6, Table 1.2).</w:t>
      </w:r>
    </w:p>
    <w:p w14:paraId="0DCF7E72">
      <w:pPr>
        <w:pStyle w:val="2"/>
        <w:spacing w:before="300" w:after="150"/>
      </w:pPr>
      <w:r>
        <w:t>1. Data model (ER diagram)</w:t>
      </w:r>
    </w:p>
    <w:p w14:paraId="3AF9BF52">
      <w:pPr>
        <w:spacing w:after="120"/>
      </w:pPr>
      <w:r>
        <w:t>The v1 session store (in-memory, per NFR-2) holds one Session per user visit, linked to the site input, appliance loads, and the results each engine produces. This is the schema a future persistent store (Epic E9) would implement directly.</w:t>
      </w:r>
    </w:p>
    <w:p w14:paraId="5995BAB2">
      <w:pPr>
        <w:spacing w:before="100" w:after="60"/>
        <w:jc w:val="center"/>
      </w:pPr>
      <w:r>
        <w:drawing>
          <wp:inline distT="0" distB="0" distL="0" distR="0">
            <wp:extent cx="5852160" cy="2700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4AEA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2.1 — Entity relationship diagram for the SolarAgent Pro session data model</w:t>
      </w:r>
    </w:p>
    <w:p w14:paraId="706E274D">
      <w:pPr>
        <w:pStyle w:val="3"/>
        <w:spacing w:before="250" w:after="120"/>
      </w:pPr>
      <w:r>
        <w:t>Notes</w:t>
      </w:r>
    </w:p>
    <w:p w14:paraId="04F57B1D">
      <w:pPr>
        <w:pStyle w:val="16"/>
        <w:numPr>
          <w:ilvl w:val="0"/>
          <w:numId w:val="1"/>
        </w:numPr>
      </w:pPr>
      <w:r>
        <w:t>SESSION is the aggregate root; every other entity carries a session_id foreign key, matching the current SessionStore design.</w:t>
      </w:r>
    </w:p>
    <w:p w14:paraId="5334D27D">
      <w:pPr>
        <w:pStyle w:val="16"/>
        <w:numPr>
          <w:ilvl w:val="0"/>
          <w:numId w:val="1"/>
        </w:numPr>
      </w:pPr>
      <w:r>
        <w:t>SUITABILITY_RESULT, DESIGN_RESULT, COST_ESTIMATE, and ROADMAP_RESULT map directly to the outputs of FR-1 through FR-6.</w:t>
      </w:r>
    </w:p>
    <w:p w14:paraId="7003E772">
      <w:pPr>
        <w:pStyle w:val="16"/>
        <w:numPr>
          <w:ilvl w:val="0"/>
          <w:numId w:val="1"/>
        </w:numPr>
      </w:pPr>
      <w:r>
        <w:t>CHAT_MESSAGE.tool_calls records which engine(s) the agent invoked for that turn, supporting the FR-7 traceability requirement.</w:t>
      </w:r>
    </w:p>
    <w:p w14:paraId="14B4B6B0">
      <w:pPr>
        <w:pStyle w:val="2"/>
        <w:spacing w:before="300" w:after="150"/>
      </w:pPr>
      <w:r>
        <w:t>2. Request flow (architecture)</w:t>
      </w:r>
    </w:p>
    <w:p w14:paraId="28E566AA">
      <w:pPr>
        <w:spacing w:after="120"/>
      </w:pPr>
      <w:r>
        <w:t>Two flows share the same engines: the linear form-driven path (site -&gt; load -&gt; design -&gt; cost -&gt; roadmap -&gt; dashboard) and the conversational path, where the agent calls the same engines as tools rather than duplicating their logic.</w:t>
      </w:r>
    </w:p>
    <w:p w14:paraId="72D5AB80">
      <w:pPr>
        <w:spacing w:before="100" w:after="60"/>
        <w:jc w:val="center"/>
      </w:pPr>
      <w:r>
        <w:drawing>
          <wp:inline distT="0" distB="0" distL="0" distR="0">
            <wp:extent cx="4206240" cy="7488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748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FD3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2.2 — Request flow through the five engines and the tool-calling agent</w:t>
      </w:r>
    </w:p>
    <w:p w14:paraId="684A033F">
      <w:pPr>
        <w:pStyle w:val="2"/>
        <w:spacing w:before="300" w:after="150"/>
      </w:pPr>
    </w:p>
    <w:p w14:paraId="4BD89745">
      <w:pPr>
        <w:pStyle w:val="2"/>
        <w:spacing w:before="300" w:after="150"/>
      </w:pPr>
      <w:r>
        <w:t>3. UI wireframes</w:t>
      </w:r>
    </w:p>
    <w:p w14:paraId="7EC232AD">
      <w:pPr>
        <w:pStyle w:val="3"/>
        <w:spacing w:before="250" w:after="120"/>
      </w:pPr>
      <w:r>
        <w:t>Results dashboard</w:t>
      </w:r>
    </w:p>
    <w:p w14:paraId="765C316E">
      <w:pPr>
        <w:spacing w:before="100" w:after="60"/>
        <w:jc w:val="center"/>
      </w:pPr>
      <w:r>
        <w:drawing>
          <wp:inline distT="0" distB="0" distL="0" distR="0">
            <wp:extent cx="5760720" cy="3720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020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3.1 </w:t>
      </w:r>
      <w:r>
        <w:rPr>
          <w:rFonts w:hint="default"/>
          <w:i/>
          <w:iCs/>
          <w:color w:val="666666"/>
          <w:sz w:val="18"/>
          <w:szCs w:val="18"/>
          <w:lang w:val="en-US"/>
        </w:rPr>
        <w:t>-</w:t>
      </w:r>
      <w:r>
        <w:rPr>
          <w:i/>
          <w:iCs/>
          <w:color w:val="666666"/>
          <w:sz w:val="18"/>
          <w:szCs w:val="18"/>
        </w:rPr>
        <w:t xml:space="preserve"> Results dashboard wireframe</w:t>
      </w:r>
    </w:p>
    <w:p w14:paraId="1EBA24BD">
      <w:pPr>
        <w:pStyle w:val="16"/>
        <w:numPr>
          <w:ilvl w:val="0"/>
          <w:numId w:val="1"/>
        </w:numPr>
      </w:pPr>
      <w:r>
        <w:t>Suitability score, system design, and cost/payback shown as three summary cards</w:t>
      </w:r>
    </w:p>
    <w:p w14:paraId="7D4FC03A">
      <w:pPr>
        <w:pStyle w:val="16"/>
        <w:numPr>
          <w:ilvl w:val="0"/>
          <w:numId w:val="1"/>
        </w:numPr>
      </w:pPr>
      <w:r>
        <w:t>Installation roadmap as an ordered phase list below the summary</w:t>
      </w:r>
    </w:p>
    <w:p w14:paraId="69AE7EA8">
      <w:pPr>
        <w:pStyle w:val="16"/>
        <w:numPr>
          <w:ilvl w:val="0"/>
          <w:numId w:val="1"/>
        </w:numPr>
      </w:pPr>
      <w:r>
        <w:t>Report download action, dark/light toggle in the header</w:t>
      </w:r>
    </w:p>
    <w:p w14:paraId="70F69BCE">
      <w:pPr>
        <w:pStyle w:val="3"/>
        <w:spacing w:before="250" w:after="120"/>
      </w:pPr>
    </w:p>
    <w:p w14:paraId="111C4488">
      <w:pPr>
        <w:pStyle w:val="3"/>
        <w:spacing w:before="250" w:after="120"/>
      </w:pPr>
    </w:p>
    <w:p w14:paraId="2C994B0D">
      <w:pPr>
        <w:pStyle w:val="3"/>
        <w:spacing w:before="250" w:after="120"/>
      </w:pPr>
    </w:p>
    <w:p w14:paraId="68DC3A6B">
      <w:pPr>
        <w:pStyle w:val="3"/>
        <w:spacing w:before="250" w:after="120"/>
      </w:pPr>
    </w:p>
    <w:p w14:paraId="23530D0A">
      <w:pPr>
        <w:pStyle w:val="3"/>
        <w:spacing w:before="250" w:after="120"/>
      </w:pPr>
    </w:p>
    <w:p w14:paraId="6648B765">
      <w:pPr>
        <w:pStyle w:val="3"/>
        <w:spacing w:before="250" w:after="120"/>
      </w:pPr>
    </w:p>
    <w:p w14:paraId="0B5FD06F">
      <w:pPr>
        <w:pStyle w:val="3"/>
        <w:spacing w:before="250" w:after="120"/>
      </w:pPr>
    </w:p>
    <w:p w14:paraId="20455701">
      <w:pPr>
        <w:pStyle w:val="3"/>
        <w:spacing w:before="250" w:after="120"/>
      </w:pPr>
    </w:p>
    <w:p w14:paraId="769810B8">
      <w:pPr>
        <w:pStyle w:val="3"/>
        <w:spacing w:before="250" w:after="120"/>
      </w:pPr>
      <w:r>
        <w:t>Chat panel</w:t>
      </w:r>
    </w:p>
    <w:p w14:paraId="5CA595DB">
      <w:pPr>
        <w:spacing w:before="100" w:after="60"/>
        <w:jc w:val="center"/>
      </w:pPr>
      <w:r>
        <w:drawing>
          <wp:inline distT="0" distB="0" distL="0" distR="0">
            <wp:extent cx="5486400" cy="3413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B34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3.2 </w:t>
      </w:r>
      <w:r>
        <w:rPr>
          <w:rFonts w:hint="default"/>
          <w:i/>
          <w:iCs/>
          <w:color w:val="666666"/>
          <w:sz w:val="18"/>
          <w:szCs w:val="18"/>
          <w:lang w:val="en-US"/>
        </w:rPr>
        <w:t>-</w:t>
      </w:r>
      <w:r>
        <w:rPr>
          <w:i/>
          <w:iCs/>
          <w:color w:val="666666"/>
          <w:sz w:val="18"/>
          <w:szCs w:val="18"/>
        </w:rPr>
        <w:t xml:space="preserve"> Chat panel wireframe</w:t>
      </w:r>
    </w:p>
    <w:p w14:paraId="07EF3B7E">
      <w:pPr>
        <w:pStyle w:val="16"/>
        <w:numPr>
          <w:ilvl w:val="0"/>
          <w:numId w:val="1"/>
        </w:numPr>
      </w:pPr>
      <w:r>
        <w:t>Chat bubbles distinguish user vs. agent turns</w:t>
      </w:r>
    </w:p>
    <w:p w14:paraId="772D67FA">
      <w:pPr>
        <w:pStyle w:val="16"/>
        <w:numPr>
          <w:ilvl w:val="0"/>
          <w:numId w:val="1"/>
        </w:numPr>
      </w:pPr>
      <w:r>
        <w:t>Agent replies show a tool-call chip when a figure is grounded in an engine call (FR-7)</w:t>
      </w:r>
    </w:p>
    <w:p w14:paraId="15C72E70">
      <w:pPr>
        <w:pStyle w:val="16"/>
        <w:numPr>
          <w:ilvl w:val="0"/>
          <w:numId w:val="1"/>
        </w:numPr>
      </w:pPr>
      <w:r>
        <w:t>Standard text input + send action</w:t>
      </w:r>
    </w:p>
    <w:p w14:paraId="2DC4EAEA">
      <w:pPr>
        <w:pStyle w:val="2"/>
        <w:spacing w:before="300" w:after="150"/>
      </w:pPr>
    </w:p>
    <w:p w14:paraId="57934B57">
      <w:pPr>
        <w:pStyle w:val="2"/>
        <w:spacing w:before="300" w:after="150"/>
      </w:pPr>
    </w:p>
    <w:p w14:paraId="3D1FDA46">
      <w:pPr>
        <w:pStyle w:val="2"/>
        <w:spacing w:before="300" w:after="150"/>
      </w:pPr>
    </w:p>
    <w:p w14:paraId="7168B72C">
      <w:pPr>
        <w:pStyle w:val="2"/>
        <w:spacing w:before="300" w:after="150"/>
      </w:pPr>
    </w:p>
    <w:p w14:paraId="25BD35F7">
      <w:pPr>
        <w:pStyle w:val="2"/>
        <w:spacing w:before="300" w:after="150"/>
      </w:pPr>
    </w:p>
    <w:p w14:paraId="233675E0">
      <w:pPr>
        <w:pStyle w:val="2"/>
        <w:spacing w:before="300" w:after="150"/>
      </w:pPr>
    </w:p>
    <w:p w14:paraId="0848D365">
      <w:pPr>
        <w:pStyle w:val="2"/>
        <w:spacing w:before="300" w:after="150"/>
      </w:pPr>
    </w:p>
    <w:p w14:paraId="571DF112">
      <w:pPr>
        <w:pStyle w:val="2"/>
        <w:spacing w:before="300" w:after="150"/>
      </w:pPr>
    </w:p>
    <w:p w14:paraId="514FFAEA">
      <w:pPr>
        <w:pStyle w:val="2"/>
        <w:spacing w:before="300" w:after="150"/>
      </w:pPr>
      <w:bookmarkStart w:id="0" w:name="_GoBack"/>
      <w:bookmarkEnd w:id="0"/>
      <w:r>
        <w:t>4. GitHub Projects board configuration</w:t>
      </w:r>
    </w:p>
    <w:p w14:paraId="1C00AA64">
      <w:pPr>
        <w:spacing w:after="120"/>
      </w:pPr>
      <w:r>
        <w:t>Columns: Backlog -&gt; Ready -&gt; In progress -&gt; In review -&gt; Done.</w:t>
      </w:r>
    </w:p>
    <w:p w14:paraId="24503CCF">
      <w:pPr>
        <w:spacing w:after="120"/>
      </w:pPr>
      <w:r>
        <w:t>Labels: engine, frontend, agent, docs, infra, bug, week-2, week-3-4, week-5-6.</w:t>
      </w:r>
    </w:p>
    <w:p w14:paraId="007AF9EB">
      <w:pPr>
        <w:spacing w:after="120"/>
      </w:pPr>
      <w:r>
        <w:t>Views: board grouped by status; table grouped by epic for traceability back to Section 4 of the SRS.</w:t>
      </w:r>
    </w:p>
    <w:p w14:paraId="0E8EF755">
      <w:pPr>
        <w:spacing w:after="120"/>
      </w:pPr>
      <w:r>
        <w:t>Seed backlog (from the Week 1 SRS Section 4 epic list):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2D913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shd w:val="clear" w:color="auto" w:fill="E6F1FB"/>
          </w:tcPr>
          <w:p w14:paraId="69ABAACC">
            <w:r>
              <w:rPr>
                <w:b/>
                <w:bCs/>
                <w:sz w:val="20"/>
                <w:szCs w:val="20"/>
              </w:rPr>
              <w:t>Epic</w:t>
            </w:r>
          </w:p>
        </w:tc>
        <w:tc>
          <w:tcPr>
            <w:tcW w:w="2340" w:type="dxa"/>
            <w:shd w:val="clear" w:color="auto" w:fill="E6F1FB"/>
          </w:tcPr>
          <w:p w14:paraId="0C6FF0E0">
            <w:r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2340" w:type="dxa"/>
            <w:shd w:val="clear" w:color="auto" w:fill="E6F1FB"/>
          </w:tcPr>
          <w:p w14:paraId="471E6C04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2340" w:type="dxa"/>
            <w:shd w:val="clear" w:color="auto" w:fill="E6F1FB"/>
          </w:tcPr>
          <w:p w14:paraId="5E6D9618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14:paraId="27794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</w:tcPr>
          <w:p w14:paraId="3086961D">
            <w:r>
              <w:rPr>
                <w:sz w:val="20"/>
                <w:szCs w:val="20"/>
              </w:rPr>
              <w:t>E1</w:t>
            </w:r>
          </w:p>
        </w:tc>
        <w:tc>
          <w:tcPr>
            <w:tcW w:w="2340" w:type="dxa"/>
          </w:tcPr>
          <w:p w14:paraId="0F1E9993">
            <w:r>
              <w:rPr>
                <w:sz w:val="20"/>
                <w:szCs w:val="20"/>
              </w:rPr>
              <w:t>Site analysis engine</w:t>
            </w:r>
          </w:p>
        </w:tc>
        <w:tc>
          <w:tcPr>
            <w:tcW w:w="2340" w:type="dxa"/>
          </w:tcPr>
          <w:p w14:paraId="4FB3E4C4"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</w:tcPr>
          <w:p w14:paraId="135FEFEA">
            <w:r>
              <w:rPr>
                <w:sz w:val="20"/>
                <w:szCs w:val="20"/>
              </w:rPr>
              <w:t>Done</w:t>
            </w:r>
          </w:p>
        </w:tc>
      </w:tr>
      <w:tr w14:paraId="67896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</w:tcPr>
          <w:p w14:paraId="1EA16314">
            <w:r>
              <w:rPr>
                <w:sz w:val="20"/>
                <w:szCs w:val="20"/>
              </w:rPr>
              <w:t>E2</w:t>
            </w:r>
          </w:p>
        </w:tc>
        <w:tc>
          <w:tcPr>
            <w:tcW w:w="2340" w:type="dxa"/>
          </w:tcPr>
          <w:p w14:paraId="3C1E0E0D">
            <w:r>
              <w:rPr>
                <w:sz w:val="20"/>
                <w:szCs w:val="20"/>
              </w:rPr>
              <w:t>Load &amp; sizing engine</w:t>
            </w:r>
          </w:p>
        </w:tc>
        <w:tc>
          <w:tcPr>
            <w:tcW w:w="2340" w:type="dxa"/>
          </w:tcPr>
          <w:p w14:paraId="7CD78122"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</w:tcPr>
          <w:p w14:paraId="7192298D">
            <w:r>
              <w:rPr>
                <w:sz w:val="20"/>
                <w:szCs w:val="20"/>
              </w:rPr>
              <w:t>Done</w:t>
            </w:r>
          </w:p>
        </w:tc>
      </w:tr>
      <w:tr w14:paraId="4A9AE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</w:tcPr>
          <w:p w14:paraId="058C5762">
            <w:r>
              <w:rPr>
                <w:sz w:val="20"/>
                <w:szCs w:val="20"/>
              </w:rPr>
              <w:t>E3</w:t>
            </w:r>
          </w:p>
        </w:tc>
        <w:tc>
          <w:tcPr>
            <w:tcW w:w="2340" w:type="dxa"/>
          </w:tcPr>
          <w:p w14:paraId="363B9F83">
            <w:r>
              <w:rPr>
                <w:sz w:val="20"/>
                <w:szCs w:val="20"/>
              </w:rPr>
              <w:t>Component &amp; cost engines</w:t>
            </w:r>
          </w:p>
        </w:tc>
        <w:tc>
          <w:tcPr>
            <w:tcW w:w="2340" w:type="dxa"/>
          </w:tcPr>
          <w:p w14:paraId="56866717"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</w:tcPr>
          <w:p w14:paraId="3DF90ED1">
            <w:r>
              <w:rPr>
                <w:sz w:val="20"/>
                <w:szCs w:val="20"/>
              </w:rPr>
              <w:t>Done</w:t>
            </w:r>
          </w:p>
        </w:tc>
      </w:tr>
      <w:tr w14:paraId="54D3D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</w:tcPr>
          <w:p w14:paraId="4483FA90">
            <w:r>
              <w:rPr>
                <w:sz w:val="20"/>
                <w:szCs w:val="20"/>
              </w:rPr>
              <w:t>E4</w:t>
            </w:r>
          </w:p>
        </w:tc>
        <w:tc>
          <w:tcPr>
            <w:tcW w:w="2340" w:type="dxa"/>
          </w:tcPr>
          <w:p w14:paraId="5D334290">
            <w:r>
              <w:rPr>
                <w:sz w:val="20"/>
                <w:szCs w:val="20"/>
              </w:rPr>
              <w:t>Tool-calling conversational agent</w:t>
            </w:r>
          </w:p>
        </w:tc>
        <w:tc>
          <w:tcPr>
            <w:tcW w:w="2340" w:type="dxa"/>
          </w:tcPr>
          <w:p w14:paraId="4662E387"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</w:tcPr>
          <w:p w14:paraId="186D4079">
            <w:r>
              <w:rPr>
                <w:sz w:val="20"/>
                <w:szCs w:val="20"/>
              </w:rPr>
              <w:t>Done</w:t>
            </w:r>
          </w:p>
        </w:tc>
      </w:tr>
      <w:tr w14:paraId="33BF6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</w:tcPr>
          <w:p w14:paraId="028CB5EB">
            <w:r>
              <w:rPr>
                <w:sz w:val="20"/>
                <w:szCs w:val="20"/>
              </w:rPr>
              <w:t>E5</w:t>
            </w:r>
          </w:p>
        </w:tc>
        <w:tc>
          <w:tcPr>
            <w:tcW w:w="2340" w:type="dxa"/>
          </w:tcPr>
          <w:p w14:paraId="16723B43">
            <w:r>
              <w:rPr>
                <w:sz w:val="20"/>
                <w:szCs w:val="20"/>
              </w:rPr>
              <w:t>React frontend (forms, dashboard, chat)</w:t>
            </w:r>
          </w:p>
        </w:tc>
        <w:tc>
          <w:tcPr>
            <w:tcW w:w="2340" w:type="dxa"/>
          </w:tcPr>
          <w:p w14:paraId="35109447"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</w:tcPr>
          <w:p w14:paraId="7F4980FE">
            <w:r>
              <w:rPr>
                <w:sz w:val="20"/>
                <w:szCs w:val="20"/>
              </w:rPr>
              <w:t>Done</w:t>
            </w:r>
          </w:p>
        </w:tc>
      </w:tr>
      <w:tr w14:paraId="6AB44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</w:tcPr>
          <w:p w14:paraId="1C6528CE">
            <w:r>
              <w:rPr>
                <w:sz w:val="20"/>
                <w:szCs w:val="20"/>
              </w:rPr>
              <w:t>E6</w:t>
            </w:r>
          </w:p>
        </w:tc>
        <w:tc>
          <w:tcPr>
            <w:tcW w:w="2340" w:type="dxa"/>
          </w:tcPr>
          <w:p w14:paraId="715A7BA1">
            <w:r>
              <w:rPr>
                <w:sz w:val="20"/>
                <w:szCs w:val="20"/>
              </w:rPr>
              <w:t>PDF/HTML report generation</w:t>
            </w:r>
          </w:p>
        </w:tc>
        <w:tc>
          <w:tcPr>
            <w:tcW w:w="2340" w:type="dxa"/>
          </w:tcPr>
          <w:p w14:paraId="3FBCF93C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40" w:type="dxa"/>
          </w:tcPr>
          <w:p w14:paraId="56D3252D">
            <w:r>
              <w:rPr>
                <w:sz w:val="20"/>
                <w:szCs w:val="20"/>
              </w:rPr>
              <w:t>Done</w:t>
            </w:r>
          </w:p>
        </w:tc>
      </w:tr>
      <w:tr w14:paraId="298E8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</w:tcPr>
          <w:p w14:paraId="5E0FDB92">
            <w:r>
              <w:rPr>
                <w:sz w:val="20"/>
                <w:szCs w:val="20"/>
              </w:rPr>
              <w:t>E7</w:t>
            </w:r>
          </w:p>
        </w:tc>
        <w:tc>
          <w:tcPr>
            <w:tcW w:w="2340" w:type="dxa"/>
          </w:tcPr>
          <w:p w14:paraId="168C4927">
            <w:r>
              <w:rPr>
                <w:sz w:val="20"/>
                <w:szCs w:val="20"/>
              </w:rPr>
              <w:t>UI wireframes &amp; architecture diagrams</w:t>
            </w:r>
          </w:p>
        </w:tc>
        <w:tc>
          <w:tcPr>
            <w:tcW w:w="2340" w:type="dxa"/>
          </w:tcPr>
          <w:p w14:paraId="2E2DA089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40" w:type="dxa"/>
          </w:tcPr>
          <w:p w14:paraId="32908221">
            <w:r>
              <w:rPr>
                <w:sz w:val="20"/>
                <w:szCs w:val="20"/>
              </w:rPr>
              <w:t>In review</w:t>
            </w:r>
          </w:p>
        </w:tc>
      </w:tr>
      <w:tr w14:paraId="7F175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</w:tcPr>
          <w:p w14:paraId="12A4B4D9">
            <w:r>
              <w:rPr>
                <w:sz w:val="20"/>
                <w:szCs w:val="20"/>
              </w:rPr>
              <w:t>E8</w:t>
            </w:r>
          </w:p>
        </w:tc>
        <w:tc>
          <w:tcPr>
            <w:tcW w:w="2340" w:type="dxa"/>
          </w:tcPr>
          <w:p w14:paraId="7B83440E">
            <w:r>
              <w:rPr>
                <w:sz w:val="20"/>
                <w:szCs w:val="20"/>
              </w:rPr>
              <w:t>GitHub Projects board configuration</w:t>
            </w:r>
          </w:p>
        </w:tc>
        <w:tc>
          <w:tcPr>
            <w:tcW w:w="2340" w:type="dxa"/>
          </w:tcPr>
          <w:p w14:paraId="7C251426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40" w:type="dxa"/>
          </w:tcPr>
          <w:p w14:paraId="2F2EC5D4">
            <w:r>
              <w:rPr>
                <w:sz w:val="20"/>
                <w:szCs w:val="20"/>
              </w:rPr>
              <w:t>In review</w:t>
            </w:r>
          </w:p>
        </w:tc>
      </w:tr>
      <w:tr w14:paraId="429AF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</w:tcPr>
          <w:p w14:paraId="2202518A">
            <w:r>
              <w:rPr>
                <w:sz w:val="20"/>
                <w:szCs w:val="20"/>
              </w:rPr>
              <w:t>E9</w:t>
            </w:r>
          </w:p>
        </w:tc>
        <w:tc>
          <w:tcPr>
            <w:tcW w:w="2340" w:type="dxa"/>
          </w:tcPr>
          <w:p w14:paraId="6289C790">
            <w:r>
              <w:rPr>
                <w:sz w:val="20"/>
                <w:szCs w:val="20"/>
              </w:rPr>
              <w:t>Authentication &amp; persistent session store</w:t>
            </w:r>
          </w:p>
        </w:tc>
        <w:tc>
          <w:tcPr>
            <w:tcW w:w="2340" w:type="dxa"/>
          </w:tcPr>
          <w:p w14:paraId="0A9B28DE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40" w:type="dxa"/>
          </w:tcPr>
          <w:p w14:paraId="70503D63">
            <w:r>
              <w:rPr>
                <w:sz w:val="20"/>
                <w:szCs w:val="20"/>
              </w:rPr>
              <w:t>Backlog</w:t>
            </w:r>
          </w:p>
        </w:tc>
      </w:tr>
      <w:tr w14:paraId="1F515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</w:tcPr>
          <w:p w14:paraId="47267A2E">
            <w:r>
              <w:rPr>
                <w:sz w:val="20"/>
                <w:szCs w:val="20"/>
              </w:rPr>
              <w:t>E10</w:t>
            </w:r>
          </w:p>
        </w:tc>
        <w:tc>
          <w:tcPr>
            <w:tcW w:w="2340" w:type="dxa"/>
          </w:tcPr>
          <w:p w14:paraId="57ACBB5A">
            <w:r>
              <w:rPr>
                <w:sz w:val="20"/>
                <w:szCs w:val="20"/>
              </w:rPr>
              <w:t>Live weather API integration</w:t>
            </w:r>
          </w:p>
        </w:tc>
        <w:tc>
          <w:tcPr>
            <w:tcW w:w="2340" w:type="dxa"/>
          </w:tcPr>
          <w:p w14:paraId="0D4AC429">
            <w:r>
              <w:rPr>
                <w:sz w:val="20"/>
                <w:szCs w:val="20"/>
              </w:rPr>
              <w:t>Low</w:t>
            </w:r>
          </w:p>
        </w:tc>
        <w:tc>
          <w:tcPr>
            <w:tcW w:w="2340" w:type="dxa"/>
          </w:tcPr>
          <w:p w14:paraId="75D60643">
            <w:r>
              <w:rPr>
                <w:sz w:val="20"/>
                <w:szCs w:val="20"/>
              </w:rPr>
              <w:t>Backlog</w:t>
            </w:r>
          </w:p>
        </w:tc>
      </w:tr>
      <w:tr w14:paraId="6BD1C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</w:tcPr>
          <w:p w14:paraId="5EA37467">
            <w:r>
              <w:rPr>
                <w:sz w:val="20"/>
                <w:szCs w:val="20"/>
              </w:rPr>
              <w:t>E11</w:t>
            </w:r>
          </w:p>
        </w:tc>
        <w:tc>
          <w:tcPr>
            <w:tcW w:w="2340" w:type="dxa"/>
          </w:tcPr>
          <w:p w14:paraId="4ABA1ED6">
            <w:r>
              <w:rPr>
                <w:sz w:val="20"/>
                <w:szCs w:val="20"/>
              </w:rPr>
              <w:t>Automated test suite for engines</w:t>
            </w:r>
          </w:p>
        </w:tc>
        <w:tc>
          <w:tcPr>
            <w:tcW w:w="2340" w:type="dxa"/>
          </w:tcPr>
          <w:p w14:paraId="4F585305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40" w:type="dxa"/>
          </w:tcPr>
          <w:p w14:paraId="58681DEE">
            <w:r>
              <w:rPr>
                <w:sz w:val="20"/>
                <w:szCs w:val="20"/>
              </w:rPr>
              <w:t>Backlog</w:t>
            </w:r>
          </w:p>
        </w:tc>
      </w:tr>
    </w:tbl>
    <w:p w14:paraId="632AF291">
      <w:pPr>
        <w:spacing w:after="120"/>
      </w:pPr>
    </w:p>
    <w:p w14:paraId="39CF1AA3">
      <w:pPr>
        <w:spacing w:after="120"/>
      </w:pPr>
      <w:r>
        <w:t>E7 and E8 move to Done once this document and the board itself are committed. Automation: any issue labeled week-2 is auto-added to the board; issues close automatically when their linked PR merges to main.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F991D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322</Words>
  <Characters>1754</Characters>
  <TotalTime>2</TotalTime>
  <ScaleCrop>false</ScaleCrop>
  <LinksUpToDate>false</LinksUpToDate>
  <CharactersWithSpaces>2047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2026-08-24T19:16:00Z</dcterms:created>
  <dc:creator>Un-named</dc:creator>
  <cp:lastModifiedBy>Razu Sarder</cp:lastModifiedBy>
  <dcterms:modified xsi:type="dcterms:W3CDTF">2026-08-24T19:32:01Z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eyJoZGlkIjoiZDZmNzdmODRkOTBiODdlMzU4MTA2ZThlZmJlZTI3ZWIiLCJ1c2VySWQiOiIzNzI4NDYyMzUwMDgzIn0=</vt:lpwstr>
  </property>
  <property fmtid="{D5CDD505-2E9C-101B-9397-08002B2CF9AE}" pid="3" name="KSOProductBuildVer">
    <vt:lpwstr>1033-12.1.0.26880</vt:lpwstr>
  </property>
  <property fmtid="{D5CDD505-2E9C-101B-9397-08002B2CF9AE}" pid="4" name="ICV">
    <vt:lpwstr>838643220959432EBF256A9C7EBF2871_13</vt:lpwstr>
  </property>
</Properties>
</file>