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556B" w14:textId="2073C97B" w:rsidR="009868A3" w:rsidRDefault="00E8079C" w:rsidP="00E8079C">
      <w:pPr>
        <w:jc w:val="center"/>
      </w:pPr>
      <w:r>
        <w:rPr>
          <w:b/>
          <w:bCs/>
          <w:u w:val="single"/>
        </w:rPr>
        <w:t xml:space="preserve">Title: </w:t>
      </w:r>
      <w:r>
        <w:t xml:space="preserve">Lab </w:t>
      </w:r>
      <w:r w:rsidR="00A55006">
        <w:t>1</w:t>
      </w:r>
      <w:r w:rsidR="00F27D8C">
        <w:t>1</w:t>
      </w:r>
      <w:r w:rsidR="00BD417B">
        <w:t>.</w:t>
      </w:r>
      <w:r w:rsidR="00F27D8C">
        <w:t xml:space="preserve"> Frequency Response of</w:t>
      </w:r>
      <w:r w:rsidR="00340A06">
        <w:t xml:space="preserve"> Amplifier</w:t>
      </w:r>
    </w:p>
    <w:p w14:paraId="0FA24285" w14:textId="0400A1DE" w:rsidR="00E8079C" w:rsidRDefault="00E8079C" w:rsidP="00E8079C">
      <w:r>
        <w:rPr>
          <w:b/>
          <w:bCs/>
        </w:rPr>
        <w:t>Name:</w:t>
      </w:r>
      <w:r>
        <w:t xml:space="preserve"> Robert Bara</w:t>
      </w:r>
      <w:r>
        <w:tab/>
      </w:r>
      <w:r>
        <w:tab/>
      </w:r>
      <w:r>
        <w:tab/>
      </w:r>
    </w:p>
    <w:p w14:paraId="6C737DA8" w14:textId="451CFC90" w:rsidR="00895903" w:rsidRPr="006D237F" w:rsidRDefault="00E8079C" w:rsidP="00DA41F9">
      <w:r>
        <w:rPr>
          <w:b/>
          <w:bCs/>
        </w:rPr>
        <w:t>General Objective</w:t>
      </w:r>
      <w:r w:rsidR="0074082A">
        <w:rPr>
          <w:b/>
          <w:bCs/>
        </w:rPr>
        <w:t>:</w:t>
      </w:r>
      <w:r w:rsidR="0080134B">
        <w:t xml:space="preserve"> </w:t>
      </w:r>
      <w:r w:rsidR="00F27D8C">
        <w:t>The purpose of lab 11 is to evaluate the frequency response of both a common source and common emitter amplifier by simulating results within Multism.</w:t>
      </w:r>
    </w:p>
    <w:p w14:paraId="15EA30B0" w14:textId="6600F327" w:rsidR="00C77826" w:rsidRPr="00553C5A" w:rsidRDefault="00E8079C" w:rsidP="000E7434">
      <w:pPr>
        <w:rPr>
          <w:b/>
          <w:bCs/>
        </w:rPr>
      </w:pPr>
      <w:r w:rsidRPr="00E8079C">
        <w:rPr>
          <w:b/>
          <w:bCs/>
        </w:rPr>
        <w:t>Background Activities:</w:t>
      </w:r>
      <w:r w:rsidR="00C65BAB">
        <w:rPr>
          <w:b/>
          <w:bCs/>
        </w:rPr>
        <w:t xml:space="preserve"> </w:t>
      </w:r>
      <w:r w:rsidR="00553C5A">
        <w:t>The frequency response of an electric circuit is a way to measure how the output gain and phase change with respect to frequency. The frequency response is typically graphed using a Bode Plot where frequency is the x-axis in hert</w:t>
      </w:r>
      <w:r w:rsidR="007A74A3">
        <w:t>z</w:t>
      </w:r>
      <w:r w:rsidR="00553C5A">
        <w:t xml:space="preserve"> while the vertical y-axis is typically represented in terms of gain measured in decibels using a logarithmic scale.</w:t>
      </w:r>
      <w:r w:rsidR="00504071">
        <w:t xml:space="preserve"> A decibel is 1/10</w:t>
      </w:r>
      <w:r w:rsidR="00504071" w:rsidRPr="00504071">
        <w:rPr>
          <w:vertAlign w:val="superscript"/>
        </w:rPr>
        <w:t>th</w:t>
      </w:r>
      <w:r w:rsidR="00504071">
        <w:t xml:space="preserve"> of a bel (B), calculated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20*log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(A)</m:t>
        </m:r>
      </m:oMath>
      <w:r w:rsidR="00504071">
        <w:rPr>
          <w:rFonts w:eastAsiaTheme="minorEastAsia"/>
        </w:rPr>
        <w:t>, with A being the decimal gain. 0dB occurs approximately when the output is eq</w:t>
      </w:r>
      <w:proofErr w:type="spellStart"/>
      <w:r w:rsidR="00504071">
        <w:rPr>
          <w:rFonts w:eastAsiaTheme="minorEastAsia"/>
        </w:rPr>
        <w:t>ual</w:t>
      </w:r>
      <w:proofErr w:type="spellEnd"/>
      <w:r w:rsidR="00504071">
        <w:rPr>
          <w:rFonts w:eastAsiaTheme="minorEastAsia"/>
        </w:rPr>
        <w:t xml:space="preserve"> to the input, therefore yielding a gain of 1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20*log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(1)</m:t>
        </m:r>
      </m:oMath>
      <w:r w:rsidR="00504071">
        <w:rPr>
          <w:rFonts w:eastAsiaTheme="minorEastAsia"/>
        </w:rPr>
        <w:t xml:space="preserve">=0dB. </w:t>
      </w:r>
      <w:r w:rsidR="00504071">
        <w:t xml:space="preserve">The bandwidth of an amplifier may be represented by the following equation, </w:t>
      </w:r>
      <m:oMath>
        <m:r>
          <w:rPr>
            <w:rFonts w:ascii="Cambria Math" w:hAnsi="Cambria Math"/>
          </w:rPr>
          <m:t xml:space="preserve">Bandwidth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BW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504071">
        <w:rPr>
          <w:rFonts w:eastAsiaTheme="minorEastAsia"/>
        </w:rPr>
        <w:t>. When the output drops from 0dB to -3dB at a fixed rate, this is known as the roll-off region of a response curve. In single order amplifiers and filters, the roll-off rate is typically 20dB/decade or 6dB/octave which are multiplied by the order of the circuit.</w:t>
      </w:r>
    </w:p>
    <w:p w14:paraId="01F1298E" w14:textId="4D7D134E" w:rsidR="001E0C67" w:rsidRDefault="00E8079C" w:rsidP="006D237F">
      <w:pPr>
        <w:rPr>
          <w:b/>
          <w:bCs/>
        </w:rPr>
      </w:pPr>
      <w:r>
        <w:rPr>
          <w:b/>
          <w:bCs/>
        </w:rPr>
        <w:t>Procedure</w:t>
      </w:r>
    </w:p>
    <w:p w14:paraId="525A8601" w14:textId="7C0DF7B9" w:rsidR="00504071" w:rsidRDefault="00504071" w:rsidP="006D237F">
      <w:r>
        <w:t>Two circuits will be built, a Common Source using a BS170 NMOS and a Common Emitter using a 2N3904 NPN as follows,</w:t>
      </w:r>
    </w:p>
    <w:p w14:paraId="08773E83" w14:textId="52F43ACE" w:rsidR="00504071" w:rsidRDefault="009B58AB" w:rsidP="00504071">
      <w:pPr>
        <w:keepNext/>
      </w:pPr>
      <w:r>
        <w:rPr>
          <w:noProof/>
        </w:rPr>
        <w:drawing>
          <wp:inline distT="0" distB="0" distL="0" distR="0" wp14:anchorId="7E80D456" wp14:editId="5F0A0E6F">
            <wp:extent cx="5943600" cy="351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64D3" w14:textId="6EAC9D14" w:rsidR="00504071" w:rsidRDefault="00504071" w:rsidP="00504071">
      <w:pPr>
        <w:pStyle w:val="Caption"/>
        <w:jc w:val="center"/>
      </w:pPr>
      <w:r>
        <w:t xml:space="preserve">Figure </w:t>
      </w:r>
      <w:r w:rsidR="00283877">
        <w:fldChar w:fldCharType="begin"/>
      </w:r>
      <w:r w:rsidR="00283877">
        <w:instrText xml:space="preserve"> SEQ Figure \* ARABIC </w:instrText>
      </w:r>
      <w:r w:rsidR="00283877">
        <w:fldChar w:fldCharType="separate"/>
      </w:r>
      <w:r w:rsidR="00521AE7">
        <w:rPr>
          <w:noProof/>
        </w:rPr>
        <w:t>1</w:t>
      </w:r>
      <w:r w:rsidR="00283877">
        <w:rPr>
          <w:noProof/>
        </w:rPr>
        <w:fldChar w:fldCharType="end"/>
      </w:r>
      <w:r>
        <w:t>. Common Source Amplifier</w:t>
      </w:r>
    </w:p>
    <w:p w14:paraId="24487791" w14:textId="77777777" w:rsidR="00504071" w:rsidRDefault="00504071" w:rsidP="0050407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64FA39" wp14:editId="40E043F5">
            <wp:extent cx="5495925" cy="3295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1BA9" w14:textId="51D4A9C3" w:rsidR="00504071" w:rsidRDefault="00504071" w:rsidP="00504071">
      <w:pPr>
        <w:pStyle w:val="Caption"/>
        <w:jc w:val="center"/>
      </w:pPr>
      <w:r>
        <w:t xml:space="preserve">Figure </w:t>
      </w:r>
      <w:r w:rsidR="00283877">
        <w:fldChar w:fldCharType="begin"/>
      </w:r>
      <w:r w:rsidR="00283877">
        <w:instrText xml:space="preserve"> SEQ Figure \* ARABIC </w:instrText>
      </w:r>
      <w:r w:rsidR="00283877">
        <w:fldChar w:fldCharType="separate"/>
      </w:r>
      <w:r w:rsidR="00521AE7">
        <w:rPr>
          <w:noProof/>
        </w:rPr>
        <w:t>2</w:t>
      </w:r>
      <w:r w:rsidR="00283877">
        <w:rPr>
          <w:noProof/>
        </w:rPr>
        <w:fldChar w:fldCharType="end"/>
      </w:r>
      <w:r>
        <w:t>. Common Emitter Amplifier</w:t>
      </w:r>
    </w:p>
    <w:p w14:paraId="0FDA1265" w14:textId="107DA17C" w:rsidR="00504071" w:rsidRPr="00504071" w:rsidRDefault="00504071" w:rsidP="00504071">
      <w:r>
        <w:t xml:space="preserve">For both amplifiers, create a table that measures frequency (Hz) from 20Hz to 100M, </w:t>
      </w:r>
      <w:proofErr w:type="spellStart"/>
      <w:r>
        <w:t>Vout</w:t>
      </w:r>
      <w:proofErr w:type="spellEnd"/>
      <w:r>
        <w:t>, Av (Gain)=</w:t>
      </w:r>
      <w:proofErr w:type="spellStart"/>
      <w:r>
        <w:t>Vout</w:t>
      </w:r>
      <w:proofErr w:type="spellEnd"/>
      <w:r>
        <w:t>/Vin, and the gain in decibels. Upon creating the table, plot the Bode plot for the frequency response. Compare the analytical Bode plot to a simulation using Multisim’s AC Sweep with a start frequency of 1, stop frequency of 10, and 10 points per decade.</w:t>
      </w:r>
    </w:p>
    <w:p w14:paraId="33CA6FA4" w14:textId="77777777" w:rsidR="006C0D14" w:rsidRDefault="006C0D14">
      <w:pPr>
        <w:rPr>
          <w:b/>
          <w:bCs/>
        </w:rPr>
      </w:pPr>
      <w:r>
        <w:rPr>
          <w:b/>
          <w:bCs/>
        </w:rPr>
        <w:br w:type="page"/>
      </w:r>
    </w:p>
    <w:p w14:paraId="5687BEF0" w14:textId="3CFF9380" w:rsidR="00771995" w:rsidRPr="003D5F91" w:rsidRDefault="00E8079C" w:rsidP="006D237F">
      <w:pPr>
        <w:ind w:firstLine="360"/>
      </w:pPr>
      <w:r w:rsidRPr="003232C7">
        <w:rPr>
          <w:b/>
          <w:bCs/>
        </w:rPr>
        <w:lastRenderedPageBreak/>
        <w:t>Results:</w:t>
      </w:r>
    </w:p>
    <w:p w14:paraId="0D21944B" w14:textId="7BD0FB3C" w:rsidR="00E80730" w:rsidRPr="00711B42" w:rsidRDefault="00E8079C" w:rsidP="00340A06">
      <w:pPr>
        <w:pStyle w:val="ListParagraph"/>
        <w:numPr>
          <w:ilvl w:val="1"/>
          <w:numId w:val="1"/>
        </w:numPr>
      </w:pPr>
      <w:r w:rsidRPr="00340A06">
        <w:rPr>
          <w:b/>
          <w:bCs/>
        </w:rPr>
        <w:t>Simulation Results</w:t>
      </w:r>
    </w:p>
    <w:p w14:paraId="1B4332A9" w14:textId="71FBDABE" w:rsidR="00711B42" w:rsidRDefault="00711B42" w:rsidP="00711B42">
      <w:pPr>
        <w:ind w:left="720"/>
      </w:pPr>
      <w:r>
        <w:t>MOSFET</w:t>
      </w:r>
    </w:p>
    <w:p w14:paraId="6603A12F" w14:textId="4D8D41EF" w:rsidR="006C0D14" w:rsidRDefault="006C0D14" w:rsidP="006C0D14">
      <w:pPr>
        <w:ind w:left="720"/>
      </w:pPr>
      <w:r>
        <w:t xml:space="preserve">By running a transient response, I found </w:t>
      </w:r>
      <w:proofErr w:type="spellStart"/>
      <w:r>
        <w:t>Vout</w:t>
      </w:r>
      <w:proofErr w:type="spellEnd"/>
      <w:r>
        <w:t xml:space="preserve"> using </w:t>
      </w:r>
      <w:proofErr w:type="spellStart"/>
      <w:r>
        <w:t>multisim’s</w:t>
      </w:r>
      <w:proofErr w:type="spellEnd"/>
      <w:r>
        <w:t xml:space="preserve"> transient response and taking the </w:t>
      </w:r>
      <w:proofErr w:type="spellStart"/>
      <w:r>
        <w:t>ymax</w:t>
      </w:r>
      <w:proofErr w:type="spellEnd"/>
      <w:r>
        <w:t xml:space="preserve"> of each peak, from that I calculated gain as </w:t>
      </w:r>
      <w:proofErr w:type="spellStart"/>
      <w:r>
        <w:t>ymax</w:t>
      </w:r>
      <w:proofErr w:type="spellEnd"/>
      <w:r>
        <w:t>/10mV from the input source, then converted it into decibels.</w:t>
      </w:r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1047"/>
        <w:gridCol w:w="960"/>
        <w:gridCol w:w="1902"/>
        <w:gridCol w:w="1548"/>
      </w:tblGrid>
      <w:tr w:rsidR="006C0D14" w:rsidRPr="006C0D14" w14:paraId="3AA3787F" w14:textId="77777777" w:rsidTr="006C0D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BBB4" w14:textId="77777777" w:rsidR="006C0D14" w:rsidRPr="006C0D14" w:rsidRDefault="006C0D14" w:rsidP="006C0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Freq (Hz)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D3EA" w14:textId="77777777" w:rsidR="006C0D14" w:rsidRPr="006C0D14" w:rsidRDefault="006C0D14" w:rsidP="006C0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C0D14">
              <w:rPr>
                <w:rFonts w:ascii="Calibri" w:eastAsia="Times New Roman" w:hAnsi="Calibri" w:cs="Calibri"/>
                <w:color w:val="000000"/>
              </w:rPr>
              <w:t>Vout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84A9" w14:textId="77777777" w:rsidR="006C0D14" w:rsidRPr="006C0D14" w:rsidRDefault="006C0D14" w:rsidP="006C0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C0D14">
              <w:rPr>
                <w:rFonts w:ascii="Calibri" w:eastAsia="Times New Roman" w:hAnsi="Calibri" w:cs="Calibri"/>
                <w:color w:val="000000"/>
              </w:rPr>
              <w:t>Av(</w:t>
            </w:r>
            <w:proofErr w:type="gramEnd"/>
            <w:r w:rsidRPr="006C0D14">
              <w:rPr>
                <w:rFonts w:ascii="Calibri" w:eastAsia="Times New Roman" w:hAnsi="Calibri" w:cs="Calibri"/>
                <w:color w:val="000000"/>
              </w:rPr>
              <w:t>Gain)=</w:t>
            </w:r>
            <w:proofErr w:type="spellStart"/>
            <w:r w:rsidRPr="006C0D14">
              <w:rPr>
                <w:rFonts w:ascii="Calibri" w:eastAsia="Times New Roman" w:hAnsi="Calibri" w:cs="Calibri"/>
                <w:color w:val="000000"/>
              </w:rPr>
              <w:t>Vout</w:t>
            </w:r>
            <w:proofErr w:type="spellEnd"/>
            <w:r w:rsidRPr="006C0D14">
              <w:rPr>
                <w:rFonts w:ascii="Calibri" w:eastAsia="Times New Roman" w:hAnsi="Calibri" w:cs="Calibri"/>
                <w:color w:val="000000"/>
              </w:rPr>
              <w:t>/Vin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1A44" w14:textId="77777777" w:rsidR="006C0D14" w:rsidRPr="006C0D14" w:rsidRDefault="006C0D14" w:rsidP="006C0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20*</w:t>
            </w:r>
            <w:proofErr w:type="gramStart"/>
            <w:r w:rsidRPr="006C0D14">
              <w:rPr>
                <w:rFonts w:ascii="Calibri" w:eastAsia="Times New Roman" w:hAnsi="Calibri" w:cs="Calibri"/>
                <w:color w:val="000000"/>
              </w:rPr>
              <w:t>log(</w:t>
            </w:r>
            <w:proofErr w:type="gramEnd"/>
            <w:r w:rsidRPr="006C0D14">
              <w:rPr>
                <w:rFonts w:ascii="Calibri" w:eastAsia="Times New Roman" w:hAnsi="Calibri" w:cs="Calibri"/>
                <w:color w:val="000000"/>
              </w:rPr>
              <w:t>Av)(dB)</w:t>
            </w:r>
          </w:p>
        </w:tc>
      </w:tr>
      <w:tr w:rsidR="006C0D14" w:rsidRPr="006C0D14" w14:paraId="6219F87B" w14:textId="77777777" w:rsidTr="006C0D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7927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9EE9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1.23E-02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575E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1.23E+00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7B67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1.80E+00</w:t>
            </w:r>
          </w:p>
        </w:tc>
      </w:tr>
      <w:tr w:rsidR="006C0D14" w:rsidRPr="006C0D14" w14:paraId="19C60AD4" w14:textId="77777777" w:rsidTr="006C0D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6D43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705D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1.47E-02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957F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1.47E+00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10B1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3.32E+00</w:t>
            </w:r>
          </w:p>
        </w:tc>
      </w:tr>
      <w:tr w:rsidR="006C0D14" w:rsidRPr="006C0D14" w14:paraId="4AC08EAB" w14:textId="77777777" w:rsidTr="006C0D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2727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EF96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1.43E-02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4754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1.43E+00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227A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3.09E+00</w:t>
            </w:r>
          </w:p>
        </w:tc>
      </w:tr>
      <w:tr w:rsidR="006C0D14" w:rsidRPr="006C0D14" w14:paraId="218A1F8A" w14:textId="77777777" w:rsidTr="006C0D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02C6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38CC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1.44E-02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E643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1.44E+00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97CA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3.15E+00</w:t>
            </w:r>
          </w:p>
        </w:tc>
      </w:tr>
      <w:tr w:rsidR="006C0D14" w:rsidRPr="006C0D14" w14:paraId="2727768D" w14:textId="77777777" w:rsidTr="006C0D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AE0D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1.00E+03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F60C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1.44E-02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1596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1.44E+00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CC33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3.16E+00</w:t>
            </w:r>
          </w:p>
        </w:tc>
      </w:tr>
      <w:tr w:rsidR="006C0D14" w:rsidRPr="006C0D14" w14:paraId="4D5BB87E" w14:textId="77777777" w:rsidTr="006C0D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D7A4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5.00E+05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6EF0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1.37E-02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EE85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1.37E+00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0535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2.72E+00</w:t>
            </w:r>
          </w:p>
        </w:tc>
      </w:tr>
      <w:tr w:rsidR="006C0D14" w:rsidRPr="006C0D14" w14:paraId="2EC3D381" w14:textId="77777777" w:rsidTr="006C0D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8586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1.00E+06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5805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1.35E-02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98B2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1.35E+00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DF8C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2.63E+00</w:t>
            </w:r>
          </w:p>
        </w:tc>
      </w:tr>
      <w:tr w:rsidR="006C0D14" w:rsidRPr="006C0D14" w14:paraId="335D76F6" w14:textId="77777777" w:rsidTr="006C0D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C6F1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1.00E+07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E589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1.32E-02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BEBE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1.32E+00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502C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2.43E+00</w:t>
            </w:r>
          </w:p>
        </w:tc>
      </w:tr>
      <w:tr w:rsidR="006C0D14" w:rsidRPr="006C0D14" w14:paraId="64C2340F" w14:textId="77777777" w:rsidTr="006C0D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8014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2.00E+07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4865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1.21E-02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2F51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1.21E+00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3474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1.63E+00</w:t>
            </w:r>
          </w:p>
        </w:tc>
      </w:tr>
      <w:tr w:rsidR="006C0D14" w:rsidRPr="006C0D14" w14:paraId="7737EF4C" w14:textId="77777777" w:rsidTr="006C0D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0F33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5.00E+07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D2A5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8.32E-03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E9D9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8.32E-01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DE81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-1.60E+00</w:t>
            </w:r>
          </w:p>
        </w:tc>
      </w:tr>
      <w:tr w:rsidR="006C0D14" w:rsidRPr="006C0D14" w14:paraId="78F4D672" w14:textId="77777777" w:rsidTr="006C0D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414D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1.00E+08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0934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4.48E-03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EEBF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4.48E-01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13F0" w14:textId="77777777" w:rsidR="006C0D14" w:rsidRPr="006C0D14" w:rsidRDefault="006C0D14" w:rsidP="006C0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D14">
              <w:rPr>
                <w:rFonts w:ascii="Calibri" w:eastAsia="Times New Roman" w:hAnsi="Calibri" w:cs="Calibri"/>
                <w:color w:val="000000"/>
              </w:rPr>
              <w:t>-6.98E+00</w:t>
            </w:r>
          </w:p>
        </w:tc>
      </w:tr>
    </w:tbl>
    <w:p w14:paraId="758E82F8" w14:textId="7C939CE1" w:rsidR="006C0D14" w:rsidRDefault="006C0D14" w:rsidP="00711B42">
      <w:pPr>
        <w:ind w:left="720"/>
      </w:pPr>
    </w:p>
    <w:p w14:paraId="45F66CEF" w14:textId="0D1E6162" w:rsidR="00465586" w:rsidRDefault="00465586" w:rsidP="00465586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16A21A6D" wp14:editId="63DC76BA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3071CD6-4144-4A51-B350-42860F3DBD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8AA446" w14:textId="23D28A25" w:rsidR="00465586" w:rsidRDefault="00465586" w:rsidP="00465586">
      <w:pPr>
        <w:ind w:left="720"/>
      </w:pPr>
      <w:r>
        <w:t xml:space="preserve">Running </w:t>
      </w:r>
      <w:proofErr w:type="gramStart"/>
      <w:r>
        <w:t>an</w:t>
      </w:r>
      <w:proofErr w:type="gramEnd"/>
      <w:r>
        <w:t xml:space="preserve"> Multisim’s AC sweep to compare,</w:t>
      </w:r>
    </w:p>
    <w:p w14:paraId="329E7F87" w14:textId="77777777" w:rsidR="00465586" w:rsidRDefault="00711B42" w:rsidP="00465586">
      <w:pPr>
        <w:keepNext/>
      </w:pPr>
      <w:r>
        <w:rPr>
          <w:noProof/>
        </w:rPr>
        <w:drawing>
          <wp:inline distT="0" distB="0" distL="0" distR="0" wp14:anchorId="51972046" wp14:editId="1E58F939">
            <wp:extent cx="6825366" cy="15663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4636" cy="157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FAE8" w14:textId="000F9D8B" w:rsidR="00711B42" w:rsidRDefault="00465586" w:rsidP="00465586">
      <w:pPr>
        <w:pStyle w:val="Caption"/>
        <w:jc w:val="center"/>
      </w:pPr>
      <w:r>
        <w:t xml:space="preserve">Figure </w:t>
      </w:r>
      <w:fldSimple w:instr=" SEQ Figure \* ARABIC ">
        <w:r w:rsidR="00521AE7">
          <w:rPr>
            <w:noProof/>
          </w:rPr>
          <w:t>3</w:t>
        </w:r>
      </w:fldSimple>
      <w:r>
        <w:t>. AC sweep of MOSFET circuit</w:t>
      </w:r>
    </w:p>
    <w:p w14:paraId="2F23B896" w14:textId="47BBC88F" w:rsidR="00711B42" w:rsidRDefault="00711B42" w:rsidP="00711B42">
      <w:pPr>
        <w:ind w:left="720"/>
      </w:pPr>
    </w:p>
    <w:p w14:paraId="31036579" w14:textId="77777777" w:rsidR="009B58AB" w:rsidRDefault="009B58AB">
      <w:r>
        <w:br w:type="page"/>
      </w:r>
    </w:p>
    <w:p w14:paraId="0A09FC61" w14:textId="6A588FF2" w:rsidR="00711B42" w:rsidRDefault="00711B42" w:rsidP="00711B42">
      <w:pPr>
        <w:ind w:left="720"/>
      </w:pPr>
      <w:r>
        <w:lastRenderedPageBreak/>
        <w:t>BJT</w:t>
      </w:r>
    </w:p>
    <w:p w14:paraId="62973192" w14:textId="7A2BC8FC" w:rsidR="009B58AB" w:rsidRDefault="006C0D14" w:rsidP="00711B42">
      <w:pPr>
        <w:ind w:left="720"/>
      </w:pPr>
      <w:r>
        <w:t xml:space="preserve">I did the same procedure I did for the </w:t>
      </w:r>
      <w:r w:rsidR="00465586">
        <w:t>MOSFET but this time using the BJT circuit.</w:t>
      </w:r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1047"/>
        <w:gridCol w:w="1053"/>
        <w:gridCol w:w="1902"/>
        <w:gridCol w:w="1548"/>
      </w:tblGrid>
      <w:tr w:rsidR="009B58AB" w:rsidRPr="009B58AB" w14:paraId="745EED1E" w14:textId="77777777" w:rsidTr="009B58AB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88EA" w14:textId="77777777" w:rsidR="009B58AB" w:rsidRPr="009B58AB" w:rsidRDefault="009B58AB" w:rsidP="009B5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Freq (Hz)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3F5E" w14:textId="77777777" w:rsidR="009B58AB" w:rsidRPr="009B58AB" w:rsidRDefault="009B58AB" w:rsidP="009B5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B58AB">
              <w:rPr>
                <w:rFonts w:ascii="Calibri" w:eastAsia="Times New Roman" w:hAnsi="Calibri" w:cs="Calibri"/>
                <w:color w:val="000000"/>
              </w:rPr>
              <w:t>Vout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C221" w14:textId="77777777" w:rsidR="009B58AB" w:rsidRPr="009B58AB" w:rsidRDefault="009B58AB" w:rsidP="009B5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B58AB">
              <w:rPr>
                <w:rFonts w:ascii="Calibri" w:eastAsia="Times New Roman" w:hAnsi="Calibri" w:cs="Calibri"/>
                <w:color w:val="000000"/>
              </w:rPr>
              <w:t>Av(</w:t>
            </w:r>
            <w:proofErr w:type="gramEnd"/>
            <w:r w:rsidRPr="009B58AB">
              <w:rPr>
                <w:rFonts w:ascii="Calibri" w:eastAsia="Times New Roman" w:hAnsi="Calibri" w:cs="Calibri"/>
                <w:color w:val="000000"/>
              </w:rPr>
              <w:t>Gain)=</w:t>
            </w:r>
            <w:proofErr w:type="spellStart"/>
            <w:r w:rsidRPr="009B58AB">
              <w:rPr>
                <w:rFonts w:ascii="Calibri" w:eastAsia="Times New Roman" w:hAnsi="Calibri" w:cs="Calibri"/>
                <w:color w:val="000000"/>
              </w:rPr>
              <w:t>Vout</w:t>
            </w:r>
            <w:proofErr w:type="spellEnd"/>
            <w:r w:rsidRPr="009B58AB">
              <w:rPr>
                <w:rFonts w:ascii="Calibri" w:eastAsia="Times New Roman" w:hAnsi="Calibri" w:cs="Calibri"/>
                <w:color w:val="000000"/>
              </w:rPr>
              <w:t>/Vin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42AE" w14:textId="77777777" w:rsidR="009B58AB" w:rsidRPr="009B58AB" w:rsidRDefault="009B58AB" w:rsidP="009B5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20*</w:t>
            </w:r>
            <w:proofErr w:type="gramStart"/>
            <w:r w:rsidRPr="009B58AB">
              <w:rPr>
                <w:rFonts w:ascii="Calibri" w:eastAsia="Times New Roman" w:hAnsi="Calibri" w:cs="Calibri"/>
                <w:color w:val="000000"/>
              </w:rPr>
              <w:t>log(</w:t>
            </w:r>
            <w:proofErr w:type="gramEnd"/>
            <w:r w:rsidRPr="009B58AB">
              <w:rPr>
                <w:rFonts w:ascii="Calibri" w:eastAsia="Times New Roman" w:hAnsi="Calibri" w:cs="Calibri"/>
                <w:color w:val="000000"/>
              </w:rPr>
              <w:t>Av)(dB)</w:t>
            </w:r>
          </w:p>
        </w:tc>
      </w:tr>
      <w:tr w:rsidR="009B58AB" w:rsidRPr="009B58AB" w14:paraId="7CA94D8D" w14:textId="77777777" w:rsidTr="009B58AB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84EA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104D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0.355682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2739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35.56817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99F5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31.02123042</w:t>
            </w:r>
          </w:p>
        </w:tc>
      </w:tr>
      <w:tr w:rsidR="009B58AB" w:rsidRPr="009B58AB" w14:paraId="7C324A08" w14:textId="77777777" w:rsidTr="009B58AB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1CAD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D577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0.714883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0E0B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71.4883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B7B5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37.08469939</w:t>
            </w:r>
          </w:p>
        </w:tc>
      </w:tr>
      <w:tr w:rsidR="009B58AB" w:rsidRPr="009B58AB" w14:paraId="20B5B346" w14:textId="77777777" w:rsidTr="009B58AB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0659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5E78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1.59E+00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0F24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159.16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A0FC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44.03667861</w:t>
            </w:r>
          </w:p>
        </w:tc>
      </w:tr>
      <w:tr w:rsidR="009B58AB" w:rsidRPr="009B58AB" w14:paraId="279A8938" w14:textId="77777777" w:rsidTr="009B58AB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4218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1.00E+03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7F5D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2.3787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FB4F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237.87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EE74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47.52679345</w:t>
            </w:r>
          </w:p>
        </w:tc>
      </w:tr>
      <w:tr w:rsidR="009B58AB" w:rsidRPr="009B58AB" w14:paraId="6ADC2B1B" w14:textId="77777777" w:rsidTr="009B58AB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0235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2.00E+03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956C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2.8592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5F45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285.92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D0D3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49.1248907</w:t>
            </w:r>
          </w:p>
        </w:tc>
      </w:tr>
      <w:tr w:rsidR="009B58AB" w:rsidRPr="009B58AB" w14:paraId="4D82D82B" w14:textId="77777777" w:rsidTr="009B58AB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9FB3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1.00E+04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5749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3.0916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93BE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309.16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9C30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49.80366597</w:t>
            </w:r>
          </w:p>
        </w:tc>
      </w:tr>
      <w:tr w:rsidR="009B58AB" w:rsidRPr="009B58AB" w14:paraId="6BDB1045" w14:textId="77777777" w:rsidTr="009B58AB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D7D8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5.00E+04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345C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3.101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A4C8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310.1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7423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49.83003532</w:t>
            </w:r>
          </w:p>
        </w:tc>
      </w:tr>
      <w:tr w:rsidR="009B58AB" w:rsidRPr="009B58AB" w14:paraId="4D8726F6" w14:textId="77777777" w:rsidTr="009B58AB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11B0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1.00E+05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790F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3.1032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1269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310.32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1771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49.83619533</w:t>
            </w:r>
          </w:p>
        </w:tc>
      </w:tr>
      <w:tr w:rsidR="009B58AB" w:rsidRPr="009B58AB" w14:paraId="432C563F" w14:textId="77777777" w:rsidTr="009B58AB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8E32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1.00E+06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0468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3.1198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E75E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311.98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D5F8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49.88253507</w:t>
            </w:r>
          </w:p>
        </w:tc>
      </w:tr>
      <w:tr w:rsidR="009B58AB" w:rsidRPr="009B58AB" w14:paraId="02BBB09C" w14:textId="77777777" w:rsidTr="009B58AB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8FD9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1.00E+07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2CF4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2.6826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8487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268.26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FA7F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48.57111841</w:t>
            </w:r>
          </w:p>
        </w:tc>
      </w:tr>
      <w:tr w:rsidR="009B58AB" w:rsidRPr="009B58AB" w14:paraId="7DF6CEFC" w14:textId="77777777" w:rsidTr="009B58AB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F54F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2.00E+07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D116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2.1669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0D71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216.69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505D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46.71677739</w:t>
            </w:r>
          </w:p>
        </w:tc>
      </w:tr>
      <w:tr w:rsidR="009B58AB" w:rsidRPr="009B58AB" w14:paraId="1CA23444" w14:textId="77777777" w:rsidTr="009B58AB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8A2B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5.00E+07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4765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1.1093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DB3C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110.93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8789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40.90098026</w:t>
            </w:r>
          </w:p>
        </w:tc>
      </w:tr>
      <w:tr w:rsidR="009B58AB" w:rsidRPr="009B58AB" w14:paraId="5DA4B62E" w14:textId="77777777" w:rsidTr="009B58AB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CF9A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1.00E+08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0895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5.70E-01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1A76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56.97754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1502" w14:textId="77777777" w:rsidR="009B58AB" w:rsidRPr="009B58AB" w:rsidRDefault="009B58AB" w:rsidP="009B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8AB">
              <w:rPr>
                <w:rFonts w:ascii="Calibri" w:eastAsia="Times New Roman" w:hAnsi="Calibri" w:cs="Calibri"/>
                <w:color w:val="000000"/>
              </w:rPr>
              <w:t>35.11407389</w:t>
            </w:r>
          </w:p>
        </w:tc>
      </w:tr>
    </w:tbl>
    <w:p w14:paraId="62E130C4" w14:textId="7418A85D" w:rsidR="009B58AB" w:rsidRDefault="009B58AB" w:rsidP="009B58AB">
      <w:pPr>
        <w:ind w:left="720"/>
        <w:jc w:val="center"/>
      </w:pPr>
    </w:p>
    <w:p w14:paraId="70FFFDD4" w14:textId="357E6C55" w:rsidR="009B58AB" w:rsidRDefault="009B58AB" w:rsidP="009B58AB">
      <w:pPr>
        <w:ind w:left="720"/>
      </w:pPr>
      <w:r>
        <w:t xml:space="preserve">Plotting gain in dB against frequency yields, </w:t>
      </w:r>
    </w:p>
    <w:p w14:paraId="4E0ECB86" w14:textId="0A4515D1" w:rsidR="009B58AB" w:rsidRDefault="009B58AB" w:rsidP="009B58AB">
      <w:pPr>
        <w:ind w:left="720"/>
        <w:jc w:val="center"/>
      </w:pPr>
      <w:r>
        <w:rPr>
          <w:noProof/>
        </w:rPr>
        <w:drawing>
          <wp:inline distT="0" distB="0" distL="0" distR="0" wp14:anchorId="744F81C8" wp14:editId="2932BDBC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2053EE-1056-4054-B055-F9B639D64D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762AE92" w14:textId="188F5E49" w:rsidR="009B58AB" w:rsidRDefault="009B58AB" w:rsidP="009B58AB">
      <w:pPr>
        <w:ind w:left="720"/>
      </w:pPr>
      <w:r>
        <w:t xml:space="preserve">Comparing this to </w:t>
      </w:r>
      <w:r w:rsidR="00255DD8">
        <w:t>M</w:t>
      </w:r>
      <w:r>
        <w:t>ultisim’s AC Sweep,</w:t>
      </w:r>
    </w:p>
    <w:p w14:paraId="7317DBC8" w14:textId="77777777" w:rsidR="009B58AB" w:rsidRDefault="00711B42" w:rsidP="009B58AB">
      <w:pPr>
        <w:keepNext/>
      </w:pPr>
      <w:r>
        <w:rPr>
          <w:noProof/>
        </w:rPr>
        <w:lastRenderedPageBreak/>
        <w:drawing>
          <wp:inline distT="0" distB="0" distL="0" distR="0" wp14:anchorId="35FDF4E8" wp14:editId="58919204">
            <wp:extent cx="6669742" cy="1574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6491" cy="160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334C" w14:textId="7A35BC92" w:rsidR="00711B42" w:rsidRPr="00EB54D9" w:rsidRDefault="009B58AB" w:rsidP="009B58AB">
      <w:pPr>
        <w:pStyle w:val="Caption"/>
        <w:jc w:val="center"/>
      </w:pPr>
      <w:r>
        <w:t xml:space="preserve">Figure </w:t>
      </w:r>
      <w:fldSimple w:instr=" SEQ Figure \* ARABIC ">
        <w:r w:rsidR="00521AE7">
          <w:rPr>
            <w:noProof/>
          </w:rPr>
          <w:t>4</w:t>
        </w:r>
      </w:fldSimple>
      <w:r>
        <w:t>. AC Sweep of BJT Circuit</w:t>
      </w:r>
    </w:p>
    <w:p w14:paraId="695B71B5" w14:textId="50785A20" w:rsidR="00E8079C" w:rsidRDefault="00E8079C" w:rsidP="00E807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Conclusion:</w:t>
      </w:r>
    </w:p>
    <w:p w14:paraId="78AAC93B" w14:textId="5622B6A4" w:rsidR="00874D91" w:rsidRPr="00EB54D9" w:rsidRDefault="00874D91" w:rsidP="00874D91">
      <w:pPr>
        <w:pStyle w:val="ListParagraph"/>
        <w:ind w:left="360"/>
      </w:pPr>
      <w:r>
        <w:t xml:space="preserve">This lab explored the frequency response of an amplifier by finding the bode plot analytically and through simulation of a MOSFET and BJT amplifier. </w:t>
      </w:r>
      <w:r>
        <w:t xml:space="preserve">Comparing graphs between the MOSFET and BJT, the BJT has a smaller bandwidth with a larger time it takes to roll off. The MOSFET has a larger bandwidth and rolls off around 100Hz and 100MHz while the BJT starts to level off around 2kHz and 10MHz. By changing the </w:t>
      </w:r>
      <w:r w:rsidR="00EC063D">
        <w:t>capacitors,</w:t>
      </w:r>
      <w:r>
        <w:t xml:space="preserve"> we are changing the filter of the input signal going into the transistor, as well as the amplified output, therefore</w:t>
      </w:r>
      <w:r>
        <w:t xml:space="preserve"> the cutoff frequencies and time it takes (since the time constant T=RC) will be modified based on the mathematical relationship that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b"/>
              </m:rPr>
              <w:rPr>
                <w:rFonts w:ascii="Cambria Math" w:hAnsi="Cambria Math"/>
                <w:color w:val="202124"/>
                <w:shd w:val="clear" w:color="auto" w:fill="FFFFFF"/>
              </w:rPr>
              <m:t>π</m:t>
            </m:r>
            <m:r>
              <m:rPr>
                <m:sty m:val="b"/>
              </m:rPr>
              <w:rPr>
                <w:rFonts w:ascii="Cambria Math" w:hAnsi="Roboto"/>
                <w:color w:val="202124"/>
                <w:shd w:val="clear" w:color="auto" w:fill="FFFFFF"/>
              </w:rPr>
              <m:t>RC</m:t>
            </m:r>
          </m:den>
        </m:f>
      </m:oMath>
      <w:r>
        <w:rPr>
          <w:rFonts w:eastAsiaTheme="minorEastAsia"/>
        </w:rPr>
        <w:t xml:space="preserve"> , where increasing </w:t>
      </w:r>
      <w:r w:rsidR="00DC782F">
        <w:rPr>
          <w:rFonts w:eastAsiaTheme="minorEastAsia"/>
        </w:rPr>
        <w:t>capacitance will increase the frequency while increasing resistance will decrease the frequency</w:t>
      </w:r>
      <w:r>
        <w:t>.</w:t>
      </w:r>
    </w:p>
    <w:p w14:paraId="34264D0D" w14:textId="51AA5B3B" w:rsidR="00812A9F" w:rsidRPr="00812A9F" w:rsidRDefault="00812A9F" w:rsidP="00812A9F">
      <w:pPr>
        <w:pStyle w:val="ListParagraph"/>
        <w:ind w:left="360"/>
      </w:pPr>
    </w:p>
    <w:sectPr w:rsidR="00812A9F" w:rsidRPr="00812A9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1C2B7" w14:textId="77777777" w:rsidR="00283877" w:rsidRDefault="00283877" w:rsidP="00E8079C">
      <w:pPr>
        <w:spacing w:after="0" w:line="240" w:lineRule="auto"/>
      </w:pPr>
      <w:r>
        <w:separator/>
      </w:r>
    </w:p>
  </w:endnote>
  <w:endnote w:type="continuationSeparator" w:id="0">
    <w:p w14:paraId="16981135" w14:textId="77777777" w:rsidR="00283877" w:rsidRDefault="00283877" w:rsidP="00E8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E7E18" w14:textId="77777777" w:rsidR="00283877" w:rsidRDefault="00283877" w:rsidP="00E8079C">
      <w:pPr>
        <w:spacing w:after="0" w:line="240" w:lineRule="auto"/>
      </w:pPr>
      <w:r>
        <w:separator/>
      </w:r>
    </w:p>
  </w:footnote>
  <w:footnote w:type="continuationSeparator" w:id="0">
    <w:p w14:paraId="1E99EFFF" w14:textId="77777777" w:rsidR="00283877" w:rsidRDefault="00283877" w:rsidP="00E80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32E63" w14:textId="156A8219" w:rsidR="003366A0" w:rsidRDefault="003366A0">
    <w:pPr>
      <w:pStyle w:val="Header"/>
      <w:jc w:val="right"/>
    </w:pPr>
    <w:r>
      <w:t>ECE 3313</w:t>
    </w:r>
    <w:sdt>
      <w:sdtPr>
        <w:id w:val="192606757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 xml:space="preserve"> Lab Report</w:t>
        </w:r>
        <w:r>
          <w:tab/>
        </w:r>
        <w:r>
          <w:tab/>
          <w:t>Robert Bara</w:t>
        </w:r>
      </w:sdtContent>
    </w:sdt>
  </w:p>
  <w:p w14:paraId="29B86F62" w14:textId="6D7F4C68" w:rsidR="003366A0" w:rsidRDefault="003366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80A6D"/>
    <w:multiLevelType w:val="multilevel"/>
    <w:tmpl w:val="095438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8B36087"/>
    <w:multiLevelType w:val="hybridMultilevel"/>
    <w:tmpl w:val="B52856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E80353"/>
    <w:multiLevelType w:val="hybridMultilevel"/>
    <w:tmpl w:val="AC56E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C2193"/>
    <w:multiLevelType w:val="hybridMultilevel"/>
    <w:tmpl w:val="70249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05801"/>
    <w:multiLevelType w:val="hybridMultilevel"/>
    <w:tmpl w:val="EDB6F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9C"/>
    <w:rsid w:val="00076F81"/>
    <w:rsid w:val="00087B46"/>
    <w:rsid w:val="000E0B8B"/>
    <w:rsid w:val="000E7434"/>
    <w:rsid w:val="000E7C3A"/>
    <w:rsid w:val="001841B1"/>
    <w:rsid w:val="00192994"/>
    <w:rsid w:val="00196F2D"/>
    <w:rsid w:val="001A48E0"/>
    <w:rsid w:val="001C5B27"/>
    <w:rsid w:val="001E0C67"/>
    <w:rsid w:val="001E62E4"/>
    <w:rsid w:val="001F3B08"/>
    <w:rsid w:val="0023775C"/>
    <w:rsid w:val="00246B96"/>
    <w:rsid w:val="00255DD8"/>
    <w:rsid w:val="002578DB"/>
    <w:rsid w:val="002773BF"/>
    <w:rsid w:val="002776E2"/>
    <w:rsid w:val="00277EF9"/>
    <w:rsid w:val="00283877"/>
    <w:rsid w:val="00284C80"/>
    <w:rsid w:val="002C18AB"/>
    <w:rsid w:val="002C6741"/>
    <w:rsid w:val="003232C7"/>
    <w:rsid w:val="003366A0"/>
    <w:rsid w:val="00340A06"/>
    <w:rsid w:val="003475CD"/>
    <w:rsid w:val="00363AA5"/>
    <w:rsid w:val="0036579F"/>
    <w:rsid w:val="003A0D7F"/>
    <w:rsid w:val="003A4585"/>
    <w:rsid w:val="003D5F91"/>
    <w:rsid w:val="003E3A9D"/>
    <w:rsid w:val="00414F46"/>
    <w:rsid w:val="0042386F"/>
    <w:rsid w:val="00432565"/>
    <w:rsid w:val="004469B8"/>
    <w:rsid w:val="00465586"/>
    <w:rsid w:val="004B36C7"/>
    <w:rsid w:val="004B44AC"/>
    <w:rsid w:val="004C1278"/>
    <w:rsid w:val="004E19A9"/>
    <w:rsid w:val="00504071"/>
    <w:rsid w:val="00521AE7"/>
    <w:rsid w:val="005230DC"/>
    <w:rsid w:val="005322AF"/>
    <w:rsid w:val="00550EE6"/>
    <w:rsid w:val="00553C5A"/>
    <w:rsid w:val="0058188C"/>
    <w:rsid w:val="00592273"/>
    <w:rsid w:val="00592AD4"/>
    <w:rsid w:val="005A3508"/>
    <w:rsid w:val="005A6AD4"/>
    <w:rsid w:val="005A742F"/>
    <w:rsid w:val="005B4984"/>
    <w:rsid w:val="005B4BCE"/>
    <w:rsid w:val="005B5D0E"/>
    <w:rsid w:val="005F1C06"/>
    <w:rsid w:val="00603CC4"/>
    <w:rsid w:val="00627706"/>
    <w:rsid w:val="0063077D"/>
    <w:rsid w:val="00682607"/>
    <w:rsid w:val="006973CF"/>
    <w:rsid w:val="006C0D14"/>
    <w:rsid w:val="006D1F0D"/>
    <w:rsid w:val="006D237F"/>
    <w:rsid w:val="006E5C78"/>
    <w:rsid w:val="006E6948"/>
    <w:rsid w:val="006F0F96"/>
    <w:rsid w:val="006F33AE"/>
    <w:rsid w:val="007014A7"/>
    <w:rsid w:val="00711B42"/>
    <w:rsid w:val="007158EE"/>
    <w:rsid w:val="007204F8"/>
    <w:rsid w:val="00723F7F"/>
    <w:rsid w:val="0074082A"/>
    <w:rsid w:val="00754441"/>
    <w:rsid w:val="00755DB1"/>
    <w:rsid w:val="0076578D"/>
    <w:rsid w:val="00771995"/>
    <w:rsid w:val="00792183"/>
    <w:rsid w:val="007A74A3"/>
    <w:rsid w:val="007D18F5"/>
    <w:rsid w:val="0080134B"/>
    <w:rsid w:val="0080146B"/>
    <w:rsid w:val="00812A9F"/>
    <w:rsid w:val="00816498"/>
    <w:rsid w:val="0084049E"/>
    <w:rsid w:val="0085257C"/>
    <w:rsid w:val="00855BD4"/>
    <w:rsid w:val="00863EB4"/>
    <w:rsid w:val="00874D91"/>
    <w:rsid w:val="00890E40"/>
    <w:rsid w:val="00895903"/>
    <w:rsid w:val="008C0446"/>
    <w:rsid w:val="008C11E3"/>
    <w:rsid w:val="008E072A"/>
    <w:rsid w:val="008E23EE"/>
    <w:rsid w:val="008E3CE5"/>
    <w:rsid w:val="008E60E8"/>
    <w:rsid w:val="008E62C1"/>
    <w:rsid w:val="00903CE8"/>
    <w:rsid w:val="009269B1"/>
    <w:rsid w:val="009458DC"/>
    <w:rsid w:val="00952704"/>
    <w:rsid w:val="009576BC"/>
    <w:rsid w:val="00963013"/>
    <w:rsid w:val="00964AE9"/>
    <w:rsid w:val="0097772E"/>
    <w:rsid w:val="009868A3"/>
    <w:rsid w:val="009A1B6F"/>
    <w:rsid w:val="009B58AB"/>
    <w:rsid w:val="009E68DA"/>
    <w:rsid w:val="00A167FC"/>
    <w:rsid w:val="00A2347F"/>
    <w:rsid w:val="00A24393"/>
    <w:rsid w:val="00A41AE0"/>
    <w:rsid w:val="00A55006"/>
    <w:rsid w:val="00A6645A"/>
    <w:rsid w:val="00AC7804"/>
    <w:rsid w:val="00AE1191"/>
    <w:rsid w:val="00B02E86"/>
    <w:rsid w:val="00B26CE5"/>
    <w:rsid w:val="00B26FF6"/>
    <w:rsid w:val="00B30B54"/>
    <w:rsid w:val="00B536B0"/>
    <w:rsid w:val="00B55578"/>
    <w:rsid w:val="00BC5559"/>
    <w:rsid w:val="00BD417B"/>
    <w:rsid w:val="00BD5178"/>
    <w:rsid w:val="00BE15EF"/>
    <w:rsid w:val="00BE5ADD"/>
    <w:rsid w:val="00C3059B"/>
    <w:rsid w:val="00C65BAB"/>
    <w:rsid w:val="00C73E30"/>
    <w:rsid w:val="00C76D63"/>
    <w:rsid w:val="00C77826"/>
    <w:rsid w:val="00CA48C2"/>
    <w:rsid w:val="00CB0959"/>
    <w:rsid w:val="00CB2D38"/>
    <w:rsid w:val="00D0748A"/>
    <w:rsid w:val="00D10FB3"/>
    <w:rsid w:val="00D23ADB"/>
    <w:rsid w:val="00D74356"/>
    <w:rsid w:val="00D7717E"/>
    <w:rsid w:val="00D771C4"/>
    <w:rsid w:val="00D82146"/>
    <w:rsid w:val="00DA41F9"/>
    <w:rsid w:val="00DB634D"/>
    <w:rsid w:val="00DC1E9E"/>
    <w:rsid w:val="00DC782F"/>
    <w:rsid w:val="00DE5388"/>
    <w:rsid w:val="00DF32EC"/>
    <w:rsid w:val="00DF54BF"/>
    <w:rsid w:val="00E26AAA"/>
    <w:rsid w:val="00E40954"/>
    <w:rsid w:val="00E45EBB"/>
    <w:rsid w:val="00E5797F"/>
    <w:rsid w:val="00E57ACB"/>
    <w:rsid w:val="00E80730"/>
    <w:rsid w:val="00E8079C"/>
    <w:rsid w:val="00E82CB8"/>
    <w:rsid w:val="00EA687D"/>
    <w:rsid w:val="00EB26BD"/>
    <w:rsid w:val="00EB54D9"/>
    <w:rsid w:val="00EC063D"/>
    <w:rsid w:val="00EC3539"/>
    <w:rsid w:val="00EC3570"/>
    <w:rsid w:val="00EE7A6A"/>
    <w:rsid w:val="00EF6FB5"/>
    <w:rsid w:val="00F26286"/>
    <w:rsid w:val="00F27D8C"/>
    <w:rsid w:val="00F40927"/>
    <w:rsid w:val="00F426A7"/>
    <w:rsid w:val="00F6581A"/>
    <w:rsid w:val="00F7048E"/>
    <w:rsid w:val="00F710EC"/>
    <w:rsid w:val="00F83E21"/>
    <w:rsid w:val="00FA50F6"/>
    <w:rsid w:val="00FB0F37"/>
    <w:rsid w:val="00FD5405"/>
    <w:rsid w:val="00FE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CC7A"/>
  <w15:chartTrackingRefBased/>
  <w15:docId w15:val="{9F453A95-6684-4D4F-AA32-B3DDAE81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79C"/>
  </w:style>
  <w:style w:type="paragraph" w:styleId="Footer">
    <w:name w:val="footer"/>
    <w:basedOn w:val="Normal"/>
    <w:link w:val="FooterChar"/>
    <w:uiPriority w:val="99"/>
    <w:unhideWhenUsed/>
    <w:rsid w:val="00E80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79C"/>
  </w:style>
  <w:style w:type="paragraph" w:styleId="ListParagraph">
    <w:name w:val="List Paragraph"/>
    <w:basedOn w:val="Normal"/>
    <w:uiPriority w:val="34"/>
    <w:qFormat/>
    <w:rsid w:val="00E807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929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E3A9D"/>
    <w:rPr>
      <w:color w:val="808080"/>
    </w:rPr>
  </w:style>
  <w:style w:type="table" w:styleId="TableGrid">
    <w:name w:val="Table Grid"/>
    <w:basedOn w:val="TableNormal"/>
    <w:uiPriority w:val="39"/>
    <w:rsid w:val="001A4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7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llege\Junior%20Year\Spring2021\Micro%20Electronics%20I\Lab\Lab%2011\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llege\Junior%20Year\Spring2021\Micro%20Electronics%20I\Lab\Lab%2011\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MOSFET Frequency Response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 formatCode="0.00E+00">
                  <c:v>1000</c:v>
                </c:pt>
                <c:pt idx="5" formatCode="0.00E+00">
                  <c:v>500000</c:v>
                </c:pt>
                <c:pt idx="6" formatCode="0.00E+00">
                  <c:v>1000000</c:v>
                </c:pt>
                <c:pt idx="7" formatCode="0.00E+00">
                  <c:v>10000000</c:v>
                </c:pt>
                <c:pt idx="8" formatCode="0.00E+00">
                  <c:v>20000000</c:v>
                </c:pt>
                <c:pt idx="9" formatCode="0.00E+00">
                  <c:v>50000000</c:v>
                </c:pt>
                <c:pt idx="10" formatCode="0.00E+00">
                  <c:v>100000000</c:v>
                </c:pt>
              </c:numCache>
            </c:numRef>
          </c:xVal>
          <c:yVal>
            <c:numRef>
              <c:f>Sheet1!$D$2:$D$12</c:f>
              <c:numCache>
                <c:formatCode>0.00E+00</c:formatCode>
                <c:ptCount val="11"/>
                <c:pt idx="0">
                  <c:v>1.8001498800865499</c:v>
                </c:pt>
                <c:pt idx="1">
                  <c:v>3.3227979031061343</c:v>
                </c:pt>
                <c:pt idx="2">
                  <c:v>3.0933475524515091</c:v>
                </c:pt>
                <c:pt idx="3">
                  <c:v>3.1522779135528749</c:v>
                </c:pt>
                <c:pt idx="4">
                  <c:v>3.1645350771890151</c:v>
                </c:pt>
                <c:pt idx="5">
                  <c:v>2.71632333595679</c:v>
                </c:pt>
                <c:pt idx="6">
                  <c:v>2.6308335541268701</c:v>
                </c:pt>
                <c:pt idx="7">
                  <c:v>2.4322472679624503</c:v>
                </c:pt>
                <c:pt idx="8">
                  <c:v>1.631698327796959</c:v>
                </c:pt>
                <c:pt idx="9">
                  <c:v>-1.5975334741855216</c:v>
                </c:pt>
                <c:pt idx="10">
                  <c:v>-6.9756030867336927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3F3-4F58-91C4-7815D69E4F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8891232"/>
        <c:axId val="2068890816"/>
      </c:scatterChart>
      <c:valAx>
        <c:axId val="2068891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  <a:r>
                  <a:rPr lang="en-US" baseline="0"/>
                  <a:t>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8890816"/>
        <c:crosses val="autoZero"/>
        <c:crossBetween val="midCat"/>
      </c:valAx>
      <c:valAx>
        <c:axId val="206889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Gain</a:t>
                </a:r>
                <a:r>
                  <a:rPr lang="en-US" baseline="0"/>
                  <a:t> (dB)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8891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BJT</a:t>
            </a:r>
            <a:r>
              <a:rPr lang="en-US" baseline="0"/>
              <a:t> Bode Plot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Sheet1!$A$16:$A$28</c:f>
              <c:numCache>
                <c:formatCode>General</c:formatCode>
                <c:ptCount val="13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 formatCode="0.00E+00">
                  <c:v>1000</c:v>
                </c:pt>
                <c:pt idx="4" formatCode="0.00E+00">
                  <c:v>2000</c:v>
                </c:pt>
                <c:pt idx="5" formatCode="0.00E+00">
                  <c:v>10000</c:v>
                </c:pt>
                <c:pt idx="6" formatCode="0.00E+00">
                  <c:v>50000</c:v>
                </c:pt>
                <c:pt idx="7" formatCode="0.00E+00">
                  <c:v>100000</c:v>
                </c:pt>
                <c:pt idx="8" formatCode="0.00E+00">
                  <c:v>1000000</c:v>
                </c:pt>
                <c:pt idx="9" formatCode="0.00E+00">
                  <c:v>10000000</c:v>
                </c:pt>
                <c:pt idx="10" formatCode="0.00E+00">
                  <c:v>20000000</c:v>
                </c:pt>
                <c:pt idx="11" formatCode="0.00E+00">
                  <c:v>50000000</c:v>
                </c:pt>
                <c:pt idx="12" formatCode="0.00E+00">
                  <c:v>100000000</c:v>
                </c:pt>
              </c:numCache>
            </c:numRef>
          </c:xVal>
          <c:yVal>
            <c:numRef>
              <c:f>Sheet1!$D$16:$D$28</c:f>
              <c:numCache>
                <c:formatCode>General</c:formatCode>
                <c:ptCount val="13"/>
                <c:pt idx="0">
                  <c:v>31.02123042187872</c:v>
                </c:pt>
                <c:pt idx="1">
                  <c:v>37.084699392323181</c:v>
                </c:pt>
                <c:pt idx="2">
                  <c:v>44.036678609487012</c:v>
                </c:pt>
                <c:pt idx="3">
                  <c:v>47.526793451420701</c:v>
                </c:pt>
                <c:pt idx="4">
                  <c:v>49.124890703231387</c:v>
                </c:pt>
                <c:pt idx="5">
                  <c:v>49.803665972517415</c:v>
                </c:pt>
                <c:pt idx="6">
                  <c:v>49.830035324746532</c:v>
                </c:pt>
                <c:pt idx="7">
                  <c:v>49.836195331840003</c:v>
                </c:pt>
                <c:pt idx="8">
                  <c:v>49.882535074725013</c:v>
                </c:pt>
                <c:pt idx="9">
                  <c:v>48.571118405033509</c:v>
                </c:pt>
                <c:pt idx="10">
                  <c:v>46.716777391599081</c:v>
                </c:pt>
                <c:pt idx="11">
                  <c:v>40.900980259779224</c:v>
                </c:pt>
                <c:pt idx="12">
                  <c:v>35.11407389368572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C4-4933-9C7D-FA1C1C7BCC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2598544"/>
        <c:axId val="2012598960"/>
      </c:scatterChart>
      <c:valAx>
        <c:axId val="2012598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  <a:r>
                  <a:rPr lang="en-US" baseline="0"/>
                  <a:t>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2598960"/>
        <c:crosses val="autoZero"/>
        <c:crossBetween val="midCat"/>
      </c:valAx>
      <c:valAx>
        <c:axId val="201259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Gain</a:t>
                </a:r>
                <a:r>
                  <a:rPr lang="en-US" baseline="0"/>
                  <a:t> (dB)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2598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C00B4-2AFE-47F3-A757-4D165CE94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Bara</dc:creator>
  <cp:keywords/>
  <dc:description/>
  <cp:lastModifiedBy>Rob Louis Bara</cp:lastModifiedBy>
  <cp:revision>41</cp:revision>
  <cp:lastPrinted>2021-04-30T21:14:00Z</cp:lastPrinted>
  <dcterms:created xsi:type="dcterms:W3CDTF">2021-04-27T17:04:00Z</dcterms:created>
  <dcterms:modified xsi:type="dcterms:W3CDTF">2021-04-30T21:15:00Z</dcterms:modified>
</cp:coreProperties>
</file>