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1276" w:rsidRDefault="00000000">
      <w:pPr>
        <w:jc w:val="center"/>
      </w:pPr>
      <w:r>
        <w:rPr>
          <w:b/>
          <w:sz w:val="60"/>
        </w:rPr>
        <w:t>PROPELGO</w:t>
      </w:r>
    </w:p>
    <w:p w:rsidR="00711276" w:rsidRDefault="00000000">
      <w:pPr>
        <w:jc w:val="center"/>
      </w:pPr>
      <w:r>
        <w:rPr>
          <w:b/>
          <w:sz w:val="40"/>
        </w:rPr>
        <w:t>Simple Brand &amp; Product Brief</w:t>
      </w:r>
    </w:p>
    <w:p w:rsidR="00711276" w:rsidRDefault="00000000">
      <w:pPr>
        <w:jc w:val="center"/>
      </w:pPr>
      <w:r>
        <w:rPr>
          <w:i/>
        </w:rPr>
        <w:t>For Brand Video &amp; Creative Agency</w:t>
      </w:r>
    </w:p>
    <w:p w:rsidR="00711276" w:rsidRDefault="00711276"/>
    <w:tbl>
      <w:tblPr>
        <w:tblW w:w="0" w:type="auto"/>
        <w:tblLook w:val="04A0" w:firstRow="1" w:lastRow="0" w:firstColumn="1" w:lastColumn="0" w:noHBand="0" w:noVBand="1"/>
      </w:tblPr>
      <w:tblGrid>
        <w:gridCol w:w="10080"/>
      </w:tblGrid>
      <w:tr w:rsidR="00711276">
        <w:tc>
          <w:tcPr>
            <w:tcW w:w="10080" w:type="dxa"/>
            <w:shd w:val="clear" w:color="auto" w:fill="EAF3EE"/>
          </w:tcPr>
          <w:p w:rsidR="00711276" w:rsidRDefault="00000000">
            <w:r>
              <w:rPr>
                <w:b/>
                <w:sz w:val="22"/>
              </w:rPr>
              <w:t>Purpose of this document</w:t>
            </w:r>
            <w:r>
              <w:br/>
              <w:t>This is a non-technical guide to help the creative team understand what PropelGo does, what its three core products are</w:t>
            </w:r>
            <w:r w:rsidR="007D4231">
              <w:t xml:space="preserve"> and</w:t>
            </w:r>
            <w:r>
              <w:t xml:space="preserve"> what each product solves</w:t>
            </w:r>
            <w:r w:rsidR="007D4231">
              <w:t xml:space="preserve">. </w:t>
            </w:r>
            <w:r>
              <w:t>The goal is to communicate the business clearly without making the video feel like a product demo or technical explainer.</w:t>
            </w:r>
          </w:p>
        </w:tc>
      </w:tr>
    </w:tbl>
    <w:p w:rsidR="00711276" w:rsidRDefault="00711276"/>
    <w:p w:rsidR="00711276" w:rsidRDefault="00000000">
      <w:pPr>
        <w:pStyle w:val="Heading1"/>
      </w:pPr>
      <w:r>
        <w:t>1. PropelGo in simple words</w:t>
      </w:r>
    </w:p>
    <w:p w:rsidR="00711276" w:rsidRDefault="00000000">
      <w:r>
        <w:t>PropelGo is a B2B fintech company that helps businesses manage and make their payments in a smarter, more controlled and more visible way.</w:t>
      </w:r>
    </w:p>
    <w:p w:rsidR="00711276" w:rsidRDefault="00000000">
      <w:r>
        <w:t>Businesses deal with many kinds of payments every day: using business credit, paying suppliers and vendors, managing cards, moving payments through different banks and networks, and keeping track of everything afterward. These processes can become complicated and fragmented.</w:t>
      </w:r>
    </w:p>
    <w:p w:rsidR="00711276" w:rsidRDefault="00000000">
      <w:r>
        <w:t>PropelGo brings technology into these payment processes so businesses can manage them more easily, with better control, visibility and efficiency.</w:t>
      </w:r>
    </w:p>
    <w:tbl>
      <w:tblPr>
        <w:tblW w:w="0" w:type="auto"/>
        <w:tblLook w:val="04A0" w:firstRow="1" w:lastRow="0" w:firstColumn="1" w:lastColumn="0" w:noHBand="0" w:noVBand="1"/>
      </w:tblPr>
      <w:tblGrid>
        <w:gridCol w:w="10080"/>
      </w:tblGrid>
      <w:tr w:rsidR="00711276">
        <w:tc>
          <w:tcPr>
            <w:tcW w:w="10080" w:type="dxa"/>
            <w:shd w:val="clear" w:color="auto" w:fill="EAF3EE"/>
          </w:tcPr>
          <w:p w:rsidR="00711276" w:rsidRDefault="00000000">
            <w:r>
              <w:rPr>
                <w:b/>
                <w:sz w:val="22"/>
              </w:rPr>
              <w:t>The simplest way to understand PropelGo</w:t>
            </w:r>
            <w:r>
              <w:br/>
              <w:t>PropelGo helps businesses move from complicated, fragmented payment processes to a more connected and controlled payment experience.</w:t>
            </w:r>
          </w:p>
        </w:tc>
      </w:tr>
    </w:tbl>
    <w:p w:rsidR="00711276" w:rsidRDefault="00711276"/>
    <w:p w:rsidR="00711276" w:rsidRDefault="00000000">
      <w:pPr>
        <w:pStyle w:val="Heading1"/>
      </w:pPr>
      <w:r>
        <w:t>2. The three products</w:t>
      </w:r>
    </w:p>
    <w:tbl>
      <w:tblPr>
        <w:tblStyle w:val="TableGrid"/>
        <w:tblW w:w="0" w:type="auto"/>
        <w:tblLook w:val="04A0" w:firstRow="1" w:lastRow="0" w:firstColumn="1" w:lastColumn="0" w:noHBand="0" w:noVBand="1"/>
      </w:tblPr>
      <w:tblGrid>
        <w:gridCol w:w="3360"/>
        <w:gridCol w:w="3360"/>
        <w:gridCol w:w="3360"/>
      </w:tblGrid>
      <w:tr w:rsidR="00711276">
        <w:tc>
          <w:tcPr>
            <w:tcW w:w="3360" w:type="dxa"/>
            <w:shd w:val="clear" w:color="auto" w:fill="DCEBE2"/>
          </w:tcPr>
          <w:p w:rsidR="00711276" w:rsidRDefault="00000000">
            <w:r>
              <w:rPr>
                <w:b/>
              </w:rPr>
              <w:t>PRODUCT</w:t>
            </w:r>
          </w:p>
        </w:tc>
        <w:tc>
          <w:tcPr>
            <w:tcW w:w="3360" w:type="dxa"/>
            <w:shd w:val="clear" w:color="auto" w:fill="DCEBE2"/>
          </w:tcPr>
          <w:p w:rsidR="00711276" w:rsidRDefault="00000000">
            <w:r>
              <w:rPr>
                <w:b/>
              </w:rPr>
              <w:t>IN SIMPLE WORDS</w:t>
            </w:r>
          </w:p>
        </w:tc>
        <w:tc>
          <w:tcPr>
            <w:tcW w:w="3360" w:type="dxa"/>
            <w:shd w:val="clear" w:color="auto" w:fill="DCEBE2"/>
          </w:tcPr>
          <w:p w:rsidR="00711276" w:rsidRDefault="00000000">
            <w:r>
              <w:rPr>
                <w:b/>
              </w:rPr>
              <w:t>MAIN JOB</w:t>
            </w:r>
          </w:p>
        </w:tc>
      </w:tr>
      <w:tr w:rsidR="00711276">
        <w:tc>
          <w:tcPr>
            <w:tcW w:w="3360" w:type="dxa"/>
          </w:tcPr>
          <w:p w:rsidR="00711276" w:rsidRDefault="00000000">
            <w:r>
              <w:t>ODCC</w:t>
            </w:r>
          </w:p>
        </w:tc>
        <w:tc>
          <w:tcPr>
            <w:tcW w:w="3360" w:type="dxa"/>
          </w:tcPr>
          <w:p w:rsidR="00711276" w:rsidRDefault="00000000">
            <w:r>
              <w:t>Turns existing business credit limits into a modern commercial card experience.</w:t>
            </w:r>
          </w:p>
        </w:tc>
        <w:tc>
          <w:tcPr>
            <w:tcW w:w="3360" w:type="dxa"/>
          </w:tcPr>
          <w:p w:rsidR="00711276" w:rsidRDefault="00000000">
            <w:r>
              <w:t>Helps businesses use existing working-capital credit for eligible business spending.</w:t>
            </w:r>
          </w:p>
        </w:tc>
      </w:tr>
      <w:tr w:rsidR="00711276">
        <w:tc>
          <w:tcPr>
            <w:tcW w:w="3360" w:type="dxa"/>
          </w:tcPr>
          <w:p w:rsidR="00711276" w:rsidRDefault="00000000">
            <w:r>
              <w:t>Versa</w:t>
            </w:r>
          </w:p>
        </w:tc>
        <w:tc>
          <w:tcPr>
            <w:tcW w:w="3360" w:type="dxa"/>
          </w:tcPr>
          <w:p w:rsidR="00711276" w:rsidRDefault="00000000">
            <w:r>
              <w:t>A platform for managing vendor and supplier payments using virtual cards.</w:t>
            </w:r>
          </w:p>
        </w:tc>
        <w:tc>
          <w:tcPr>
            <w:tcW w:w="3360" w:type="dxa"/>
          </w:tcPr>
          <w:p w:rsidR="00711276" w:rsidRDefault="00000000">
            <w:r>
              <w:t>Makes business payments more controlled, automated and easier to track.</w:t>
            </w:r>
          </w:p>
        </w:tc>
      </w:tr>
      <w:tr w:rsidR="00711276">
        <w:tc>
          <w:tcPr>
            <w:tcW w:w="3360" w:type="dxa"/>
          </w:tcPr>
          <w:p w:rsidR="00711276" w:rsidRDefault="00000000">
            <w:r>
              <w:t>Payment Orchestration Layer</w:t>
            </w:r>
          </w:p>
        </w:tc>
        <w:tc>
          <w:tcPr>
            <w:tcW w:w="3360" w:type="dxa"/>
          </w:tcPr>
          <w:p w:rsidR="00711276" w:rsidRDefault="00000000">
            <w:r>
              <w:t>The technology layer that connects businesses with different banks, payment networks and payment infrastructure.</w:t>
            </w:r>
          </w:p>
        </w:tc>
        <w:tc>
          <w:tcPr>
            <w:tcW w:w="3360" w:type="dxa"/>
          </w:tcPr>
          <w:p w:rsidR="00711276" w:rsidRDefault="00000000">
            <w:r>
              <w:t>Brings multiple payment connections together through one platform.</w:t>
            </w:r>
          </w:p>
        </w:tc>
      </w:tr>
    </w:tbl>
    <w:p w:rsidR="00711276" w:rsidRDefault="00711276"/>
    <w:p w:rsidR="00711276" w:rsidRDefault="00000000">
      <w:pPr>
        <w:pStyle w:val="Heading1"/>
      </w:pPr>
      <w:r>
        <w:lastRenderedPageBreak/>
        <w:t>3. Product 1: ODCC</w:t>
      </w:r>
    </w:p>
    <w:p w:rsidR="00711276" w:rsidRDefault="00000000">
      <w:r>
        <w:t>ODCC is a commercial card that is connected to an eligible company's existing OD/CC working-capital facility.</w:t>
      </w:r>
    </w:p>
    <w:tbl>
      <w:tblPr>
        <w:tblW w:w="0" w:type="auto"/>
        <w:tblLook w:val="04A0" w:firstRow="1" w:lastRow="0" w:firstColumn="1" w:lastColumn="0" w:noHBand="0" w:noVBand="1"/>
      </w:tblPr>
      <w:tblGrid>
        <w:gridCol w:w="10080"/>
      </w:tblGrid>
      <w:tr w:rsidR="00711276">
        <w:tc>
          <w:tcPr>
            <w:tcW w:w="10080" w:type="dxa"/>
            <w:shd w:val="clear" w:color="auto" w:fill="F4ECEC"/>
          </w:tcPr>
          <w:p w:rsidR="00711276" w:rsidRDefault="00000000">
            <w:r>
              <w:rPr>
                <w:b/>
                <w:sz w:val="22"/>
              </w:rPr>
              <w:t>The idea to remember</w:t>
            </w:r>
            <w:r>
              <w:br/>
              <w:t>The company already has credit available. ODCC gives that existing credit a modern card-based way to be used for eligible business spending.</w:t>
            </w:r>
          </w:p>
        </w:tc>
      </w:tr>
    </w:tbl>
    <w:p w:rsidR="00711276" w:rsidRDefault="00711276"/>
    <w:p w:rsidR="00711276" w:rsidRDefault="00000000">
      <w:pPr>
        <w:pStyle w:val="Heading2"/>
      </w:pPr>
      <w:r>
        <w:t>What problem does it solve?</w:t>
      </w:r>
    </w:p>
    <w:p w:rsidR="00711276" w:rsidRDefault="00000000">
      <w:r>
        <w:t>Businesses may already have sanctioned working-capital credit, but using that credit through a modern commercial-card experience can be difficult. ODCC connects the existing eligible credit facility to a card experience.</w:t>
      </w:r>
    </w:p>
    <w:p w:rsidR="00711276" w:rsidRDefault="00000000">
      <w:pPr>
        <w:pStyle w:val="Heading2"/>
      </w:pPr>
      <w:r>
        <w:t>What the product enables</w:t>
      </w:r>
    </w:p>
    <w:p w:rsidR="00711276" w:rsidRDefault="00000000">
      <w:pPr>
        <w:pStyle w:val="ListBullet"/>
        <w:ind w:left="288"/>
      </w:pPr>
      <w:r>
        <w:t>Use eligible OD</w:t>
      </w:r>
      <w:r w:rsidR="007D4231">
        <w:t xml:space="preserve"> </w:t>
      </w:r>
      <w:r>
        <w:t>limits through a commercial card.</w:t>
      </w:r>
    </w:p>
    <w:p w:rsidR="00711276" w:rsidRDefault="00000000">
      <w:pPr>
        <w:pStyle w:val="ListBullet"/>
        <w:ind w:left="288"/>
      </w:pPr>
      <w:r>
        <w:t>Make eligible business payments and expenses using the card.</w:t>
      </w:r>
    </w:p>
    <w:p w:rsidR="00711276" w:rsidRDefault="00000000">
      <w:pPr>
        <w:pStyle w:val="ListBullet"/>
        <w:ind w:left="288"/>
      </w:pPr>
      <w:r>
        <w:t>Set controls around how business credit is used.</w:t>
      </w:r>
    </w:p>
    <w:p w:rsidR="00711276" w:rsidRDefault="00000000">
      <w:pPr>
        <w:pStyle w:val="ListBullet"/>
        <w:ind w:left="288"/>
      </w:pPr>
      <w:r>
        <w:t>Manage cards and cardholders digitally.</w:t>
      </w:r>
    </w:p>
    <w:p w:rsidR="00711276" w:rsidRDefault="00000000">
      <w:pPr>
        <w:pStyle w:val="ListBullet"/>
        <w:ind w:left="288"/>
      </w:pPr>
      <w:r>
        <w:t>Create approval processes for business spending.</w:t>
      </w:r>
    </w:p>
    <w:p w:rsidR="00711276" w:rsidRDefault="00000000">
      <w:pPr>
        <w:pStyle w:val="ListBullet"/>
        <w:ind w:left="288"/>
      </w:pPr>
      <w:r>
        <w:t>See transactions, usage and reports.</w:t>
      </w:r>
    </w:p>
    <w:p w:rsidR="00711276" w:rsidRDefault="00000000">
      <w:pPr>
        <w:pStyle w:val="ListBullet"/>
        <w:ind w:left="288"/>
      </w:pPr>
      <w:r>
        <w:t>Support Visa, Mastercard and RuPay networks.</w:t>
      </w:r>
    </w:p>
    <w:p w:rsidR="00711276" w:rsidRDefault="00000000">
      <w:pPr>
        <w:pStyle w:val="Heading2"/>
      </w:pPr>
      <w:r>
        <w:t>Examples of use</w:t>
      </w:r>
    </w:p>
    <w:p w:rsidR="00711276" w:rsidRDefault="00000000">
      <w:pPr>
        <w:pStyle w:val="ListBullet"/>
        <w:ind w:left="288"/>
      </w:pPr>
      <w:r>
        <w:t>Supplier and vendor payments</w:t>
      </w:r>
    </w:p>
    <w:p w:rsidR="00711276" w:rsidRDefault="00000000">
      <w:pPr>
        <w:pStyle w:val="ListBullet"/>
        <w:ind w:left="288"/>
      </w:pPr>
      <w:r>
        <w:t>Business travel</w:t>
      </w:r>
    </w:p>
    <w:p w:rsidR="00711276" w:rsidRDefault="00000000">
      <w:pPr>
        <w:pStyle w:val="ListBullet"/>
        <w:ind w:left="288"/>
      </w:pPr>
      <w:r>
        <w:t>Utilities</w:t>
      </w:r>
    </w:p>
    <w:p w:rsidR="00711276" w:rsidRDefault="00000000">
      <w:pPr>
        <w:pStyle w:val="ListBullet"/>
        <w:ind w:left="288"/>
      </w:pPr>
      <w:r>
        <w:t>Other eligible business expenses</w:t>
      </w:r>
    </w:p>
    <w:p w:rsidR="00711276" w:rsidRDefault="00000000">
      <w:pPr>
        <w:pStyle w:val="Heading1"/>
      </w:pPr>
      <w:r>
        <w:t>4. Product 2: Versa</w:t>
      </w:r>
    </w:p>
    <w:p w:rsidR="00711276" w:rsidRDefault="00000000">
      <w:r>
        <w:t>Versa is PropelGo's enterprise platform for managing vendor and supplier payments using virtual cards.</w:t>
      </w:r>
    </w:p>
    <w:tbl>
      <w:tblPr>
        <w:tblW w:w="0" w:type="auto"/>
        <w:tblLook w:val="04A0" w:firstRow="1" w:lastRow="0" w:firstColumn="1" w:lastColumn="0" w:noHBand="0" w:noVBand="1"/>
      </w:tblPr>
      <w:tblGrid>
        <w:gridCol w:w="10080"/>
      </w:tblGrid>
      <w:tr w:rsidR="00711276">
        <w:tc>
          <w:tcPr>
            <w:tcW w:w="10080" w:type="dxa"/>
            <w:shd w:val="clear" w:color="auto" w:fill="EAF3EE"/>
          </w:tcPr>
          <w:p w:rsidR="00711276" w:rsidRDefault="00000000">
            <w:r>
              <w:rPr>
                <w:b/>
                <w:sz w:val="22"/>
              </w:rPr>
              <w:t>The idea to remember</w:t>
            </w:r>
            <w:r>
              <w:br/>
              <w:t>Instead of handling vendor payments through scattered manual processes, businesses can manage them through one controlled digital platform.</w:t>
            </w:r>
          </w:p>
        </w:tc>
      </w:tr>
    </w:tbl>
    <w:p w:rsidR="00711276" w:rsidRDefault="00711276"/>
    <w:p w:rsidR="00711276" w:rsidRDefault="00000000">
      <w:pPr>
        <w:pStyle w:val="Heading2"/>
      </w:pPr>
      <w:r>
        <w:t>What problem does it solve?</w:t>
      </w:r>
    </w:p>
    <w:p w:rsidR="00711276" w:rsidRDefault="00000000">
      <w:r>
        <w:t>Large businesses make many payments to vendors and suppliers. Managing these payments can involve manual work, multiple systems, approvals, limited visibility and difficult reconciliation. Versa brings these activities together in one platform.</w:t>
      </w:r>
    </w:p>
    <w:p w:rsidR="00711276" w:rsidRDefault="00000000">
      <w:pPr>
        <w:pStyle w:val="Heading2"/>
      </w:pPr>
      <w:r>
        <w:t>What the product enables</w:t>
      </w:r>
    </w:p>
    <w:p w:rsidR="00711276" w:rsidRDefault="00000000">
      <w:pPr>
        <w:pStyle w:val="ListBullet"/>
        <w:ind w:left="288"/>
      </w:pPr>
      <w:r>
        <w:t>Use virtual cards for controlled vendor and supplier payments.</w:t>
      </w:r>
    </w:p>
    <w:p w:rsidR="00711276" w:rsidRDefault="00000000">
      <w:pPr>
        <w:pStyle w:val="ListBullet"/>
        <w:ind w:left="288"/>
      </w:pPr>
      <w:r>
        <w:t>Manage vendors and their payment relationships.</w:t>
      </w:r>
    </w:p>
    <w:p w:rsidR="00711276" w:rsidRDefault="00000000">
      <w:pPr>
        <w:pStyle w:val="ListBullet"/>
        <w:ind w:left="288"/>
      </w:pPr>
      <w:r>
        <w:lastRenderedPageBreak/>
        <w:t>Automate recurring and operational payments.</w:t>
      </w:r>
    </w:p>
    <w:p w:rsidR="00711276" w:rsidRDefault="00000000">
      <w:pPr>
        <w:pStyle w:val="ListBullet"/>
        <w:ind w:left="288"/>
      </w:pPr>
      <w:r>
        <w:t>Set payment approvals and authorization processes.</w:t>
      </w:r>
    </w:p>
    <w:p w:rsidR="00711276" w:rsidRDefault="00000000">
      <w:pPr>
        <w:pStyle w:val="ListBullet"/>
        <w:ind w:left="288"/>
      </w:pPr>
      <w:r>
        <w:t>Control payment amounts, vendors and spending activity.</w:t>
      </w:r>
    </w:p>
    <w:p w:rsidR="00711276" w:rsidRDefault="00000000">
      <w:pPr>
        <w:pStyle w:val="ListBullet"/>
        <w:ind w:left="288"/>
      </w:pPr>
      <w:r>
        <w:t>Track transactions and payment activity.</w:t>
      </w:r>
    </w:p>
    <w:p w:rsidR="00711276" w:rsidRDefault="00000000">
      <w:pPr>
        <w:pStyle w:val="ListBullet"/>
        <w:ind w:left="288"/>
      </w:pPr>
      <w:r>
        <w:t>Make reconciliation easier.</w:t>
      </w:r>
    </w:p>
    <w:p w:rsidR="00711276" w:rsidRDefault="00000000">
      <w:pPr>
        <w:pStyle w:val="ListBullet"/>
        <w:ind w:left="288"/>
      </w:pPr>
      <w:r>
        <w:t>Work across multiple banking relationships and relevant card networks.</w:t>
      </w:r>
    </w:p>
    <w:p w:rsidR="00711276" w:rsidRDefault="00000000">
      <w:pPr>
        <w:pStyle w:val="ListBullet"/>
        <w:ind w:left="288"/>
      </w:pPr>
      <w:r>
        <w:t>Connect with enterprise systems and existing workflows through APIs and ERP integrations.</w:t>
      </w:r>
    </w:p>
    <w:p w:rsidR="00711276" w:rsidRDefault="00000000">
      <w:pPr>
        <w:pStyle w:val="Heading2"/>
      </w:pPr>
      <w:r>
        <w:t>Examples of use</w:t>
      </w:r>
    </w:p>
    <w:p w:rsidR="00711276" w:rsidRDefault="00000000">
      <w:pPr>
        <w:pStyle w:val="ListBullet"/>
        <w:ind w:left="288"/>
      </w:pPr>
      <w:r>
        <w:t>Vendor payments</w:t>
      </w:r>
    </w:p>
    <w:p w:rsidR="00711276" w:rsidRDefault="00000000">
      <w:pPr>
        <w:pStyle w:val="ListBullet"/>
        <w:ind w:left="288"/>
      </w:pPr>
      <w:r>
        <w:t>Supplier payments</w:t>
      </w:r>
    </w:p>
    <w:p w:rsidR="00711276" w:rsidRDefault="00000000">
      <w:pPr>
        <w:pStyle w:val="ListBullet"/>
        <w:ind w:left="288"/>
      </w:pPr>
      <w:r>
        <w:t>Recurring business payments</w:t>
      </w:r>
    </w:p>
    <w:p w:rsidR="00711276" w:rsidRDefault="00000000">
      <w:pPr>
        <w:pStyle w:val="ListBullet"/>
        <w:ind w:left="288"/>
      </w:pPr>
      <w:r>
        <w:t>Procurement-related payments</w:t>
      </w:r>
    </w:p>
    <w:p w:rsidR="00711276" w:rsidRDefault="00000000">
      <w:pPr>
        <w:pStyle w:val="ListBullet"/>
        <w:ind w:left="288"/>
      </w:pPr>
      <w:r>
        <w:t>Travel-related vendor payments</w:t>
      </w:r>
    </w:p>
    <w:p w:rsidR="00711276" w:rsidRDefault="00000000">
      <w:pPr>
        <w:pStyle w:val="ListBullet"/>
        <w:ind w:left="288"/>
      </w:pPr>
      <w:r>
        <w:t>Other controlled B2B payments</w:t>
      </w:r>
    </w:p>
    <w:p w:rsidR="00711276" w:rsidRDefault="00000000">
      <w:pPr>
        <w:pStyle w:val="Heading1"/>
      </w:pPr>
      <w:r>
        <w:t>5. Product 3: Payment Orchestration Layer</w:t>
      </w:r>
    </w:p>
    <w:p w:rsidR="00711276" w:rsidRDefault="00000000">
      <w:r>
        <w:t>The Payment Orchestration Layer is the technology layer that connects businesses with multiple banks, card networks and payment infrastructure.</w:t>
      </w:r>
    </w:p>
    <w:tbl>
      <w:tblPr>
        <w:tblW w:w="0" w:type="auto"/>
        <w:tblLook w:val="04A0" w:firstRow="1" w:lastRow="0" w:firstColumn="1" w:lastColumn="0" w:noHBand="0" w:noVBand="1"/>
      </w:tblPr>
      <w:tblGrid>
        <w:gridCol w:w="10080"/>
      </w:tblGrid>
      <w:tr w:rsidR="00711276">
        <w:tc>
          <w:tcPr>
            <w:tcW w:w="10080" w:type="dxa"/>
            <w:shd w:val="clear" w:color="auto" w:fill="EAF0F7"/>
          </w:tcPr>
          <w:p w:rsidR="00711276" w:rsidRDefault="00000000">
            <w:r>
              <w:rPr>
                <w:b/>
                <w:sz w:val="22"/>
              </w:rPr>
              <w:t>The idea to remember</w:t>
            </w:r>
            <w:r>
              <w:br/>
              <w:t>One connection can bring together multiple payment connections, so businesses do not have to separately build and maintain every connection themselves.</w:t>
            </w:r>
          </w:p>
        </w:tc>
      </w:tr>
    </w:tbl>
    <w:p w:rsidR="00711276" w:rsidRDefault="00711276"/>
    <w:p w:rsidR="00711276" w:rsidRDefault="00000000">
      <w:pPr>
        <w:pStyle w:val="Heading2"/>
      </w:pPr>
      <w:r>
        <w:t>What problem does it solve?</w:t>
      </w:r>
    </w:p>
    <w:p w:rsidR="00711276" w:rsidRDefault="00000000">
      <w:r>
        <w:t>Enterprise payment systems can involve several banks, card networks and payment connections. Managing all of these separately can create complexity. PropelGo provides a common layer that helps connect and manage these payment flows.</w:t>
      </w:r>
    </w:p>
    <w:p w:rsidR="00711276" w:rsidRDefault="00000000">
      <w:pPr>
        <w:pStyle w:val="Heading2"/>
      </w:pPr>
      <w:r>
        <w:t>What the product enables</w:t>
      </w:r>
    </w:p>
    <w:p w:rsidR="00711276" w:rsidRDefault="00000000">
      <w:pPr>
        <w:pStyle w:val="ListBullet"/>
        <w:ind w:left="288"/>
      </w:pPr>
      <w:r>
        <w:t>Connect with multiple banking partners.</w:t>
      </w:r>
    </w:p>
    <w:p w:rsidR="00711276" w:rsidRDefault="00000000">
      <w:pPr>
        <w:pStyle w:val="ListBullet"/>
        <w:ind w:left="288"/>
      </w:pPr>
      <w:r>
        <w:t>Connect with multiple card and payment networks.</w:t>
      </w:r>
    </w:p>
    <w:p w:rsidR="00711276" w:rsidRDefault="00000000">
      <w:pPr>
        <w:pStyle w:val="ListBullet"/>
        <w:ind w:left="288"/>
      </w:pPr>
      <w:r>
        <w:t>Route payment flows through available connections based on configured rules.</w:t>
      </w:r>
    </w:p>
    <w:p w:rsidR="00711276" w:rsidRDefault="00000000">
      <w:pPr>
        <w:pStyle w:val="ListBullet"/>
        <w:ind w:left="288"/>
      </w:pPr>
      <w:r>
        <w:t>Automate payment workflows.</w:t>
      </w:r>
    </w:p>
    <w:p w:rsidR="00711276" w:rsidRDefault="00000000">
      <w:pPr>
        <w:pStyle w:val="ListBullet"/>
        <w:ind w:left="288"/>
      </w:pPr>
      <w:r>
        <w:t>Bring payment activity into one consolidated view.</w:t>
      </w:r>
    </w:p>
    <w:p w:rsidR="00711276" w:rsidRDefault="00000000">
      <w:pPr>
        <w:pStyle w:val="ListBullet"/>
        <w:ind w:left="288"/>
      </w:pPr>
      <w:r>
        <w:t>Support reconciliation and settlement-related operations.</w:t>
      </w:r>
    </w:p>
    <w:p w:rsidR="00711276" w:rsidRDefault="00000000">
      <w:pPr>
        <w:pStyle w:val="ListBullet"/>
        <w:ind w:left="288"/>
      </w:pPr>
      <w:r>
        <w:t>Provide analytics and reporting.</w:t>
      </w:r>
    </w:p>
    <w:p w:rsidR="00711276" w:rsidRDefault="00000000">
      <w:pPr>
        <w:pStyle w:val="ListBullet"/>
        <w:ind w:left="288"/>
      </w:pPr>
      <w:r>
        <w:t>Connect with existing enterprise systems through APIs.</w:t>
      </w:r>
    </w:p>
    <w:p w:rsidR="00711276" w:rsidRDefault="00000000">
      <w:pPr>
        <w:pStyle w:val="ListBullet"/>
        <w:ind w:left="288"/>
      </w:pPr>
      <w:r>
        <w:t>Support commercial cards, virtual cards and broader enterprise payment capabilities.</w:t>
      </w:r>
    </w:p>
    <w:p w:rsidR="00711276" w:rsidRDefault="00000000">
      <w:pPr>
        <w:pStyle w:val="Heading1"/>
      </w:pPr>
      <w:r>
        <w:lastRenderedPageBreak/>
        <w:t>6. How the three products fit together</w:t>
      </w:r>
    </w:p>
    <w:p w:rsidR="00711276" w:rsidRDefault="00000000">
      <w:r>
        <w:t>This is important for the brand video: the three products should not look like three unrelated products from three different companies.</w:t>
      </w:r>
    </w:p>
    <w:tbl>
      <w:tblPr>
        <w:tblStyle w:val="TableGrid"/>
        <w:tblW w:w="0" w:type="auto"/>
        <w:tblLook w:val="04A0" w:firstRow="1" w:lastRow="0" w:firstColumn="1" w:lastColumn="0" w:noHBand="0" w:noVBand="1"/>
      </w:tblPr>
      <w:tblGrid>
        <w:gridCol w:w="3360"/>
        <w:gridCol w:w="3360"/>
        <w:gridCol w:w="3360"/>
      </w:tblGrid>
      <w:tr w:rsidR="00711276">
        <w:tc>
          <w:tcPr>
            <w:tcW w:w="3360" w:type="dxa"/>
            <w:shd w:val="clear" w:color="auto" w:fill="DCEBE2"/>
          </w:tcPr>
          <w:p w:rsidR="00711276" w:rsidRDefault="00000000">
            <w:r>
              <w:rPr>
                <w:b/>
              </w:rPr>
              <w:t>ODCC</w:t>
            </w:r>
          </w:p>
        </w:tc>
        <w:tc>
          <w:tcPr>
            <w:tcW w:w="3360" w:type="dxa"/>
            <w:shd w:val="clear" w:color="auto" w:fill="DCEBE2"/>
          </w:tcPr>
          <w:p w:rsidR="00711276" w:rsidRDefault="00000000">
            <w:r>
              <w:rPr>
                <w:b/>
              </w:rPr>
              <w:t>VERSA</w:t>
            </w:r>
          </w:p>
        </w:tc>
        <w:tc>
          <w:tcPr>
            <w:tcW w:w="3360" w:type="dxa"/>
            <w:shd w:val="clear" w:color="auto" w:fill="DCEBE2"/>
          </w:tcPr>
          <w:p w:rsidR="00711276" w:rsidRDefault="00000000">
            <w:r>
              <w:rPr>
                <w:b/>
              </w:rPr>
              <w:t>ORCHESTRATION LAYER</w:t>
            </w:r>
          </w:p>
        </w:tc>
      </w:tr>
      <w:tr w:rsidR="00711276">
        <w:tc>
          <w:tcPr>
            <w:tcW w:w="3360" w:type="dxa"/>
          </w:tcPr>
          <w:p w:rsidR="00711276" w:rsidRDefault="00000000">
            <w:r>
              <w:t>Credit → Commercial Card</w:t>
            </w:r>
          </w:p>
        </w:tc>
        <w:tc>
          <w:tcPr>
            <w:tcW w:w="3360" w:type="dxa"/>
          </w:tcPr>
          <w:p w:rsidR="00711276" w:rsidRDefault="00000000">
            <w:r>
              <w:t>Vendor Payments → Virtual Cards</w:t>
            </w:r>
          </w:p>
        </w:tc>
        <w:tc>
          <w:tcPr>
            <w:tcW w:w="3360" w:type="dxa"/>
          </w:tcPr>
          <w:p w:rsidR="00711276" w:rsidRDefault="00000000">
            <w:r>
              <w:t>Multiple Payment Connections → One Platform</w:t>
            </w:r>
          </w:p>
        </w:tc>
      </w:tr>
      <w:tr w:rsidR="00711276">
        <w:tc>
          <w:tcPr>
            <w:tcW w:w="3360" w:type="dxa"/>
          </w:tcPr>
          <w:p w:rsidR="00711276" w:rsidRDefault="00000000">
            <w:r>
              <w:t>Helps businesses use existing eligible working-capital credit through a modern commercial card.</w:t>
            </w:r>
          </w:p>
        </w:tc>
        <w:tc>
          <w:tcPr>
            <w:tcW w:w="3360" w:type="dxa"/>
          </w:tcPr>
          <w:p w:rsidR="00711276" w:rsidRDefault="00000000">
            <w:r>
              <w:t>Helps businesses manage and automate vendor/supplier payments through virtual cards.</w:t>
            </w:r>
          </w:p>
        </w:tc>
        <w:tc>
          <w:tcPr>
            <w:tcW w:w="3360" w:type="dxa"/>
          </w:tcPr>
          <w:p w:rsidR="00711276" w:rsidRDefault="00000000">
            <w:r>
              <w:t>Connects banks, networks and payment infrastructure to support broader payment flows.</w:t>
            </w:r>
          </w:p>
        </w:tc>
      </w:tr>
    </w:tbl>
    <w:p w:rsidR="00711276" w:rsidRDefault="00711276"/>
    <w:tbl>
      <w:tblPr>
        <w:tblW w:w="0" w:type="auto"/>
        <w:tblLook w:val="04A0" w:firstRow="1" w:lastRow="0" w:firstColumn="1" w:lastColumn="0" w:noHBand="0" w:noVBand="1"/>
      </w:tblPr>
      <w:tblGrid>
        <w:gridCol w:w="10080"/>
      </w:tblGrid>
      <w:tr w:rsidR="00711276">
        <w:tc>
          <w:tcPr>
            <w:tcW w:w="10080" w:type="dxa"/>
            <w:shd w:val="clear" w:color="auto" w:fill="EAF3EE"/>
          </w:tcPr>
          <w:p w:rsidR="00711276" w:rsidRDefault="00000000">
            <w:r>
              <w:rPr>
                <w:b/>
                <w:sz w:val="22"/>
              </w:rPr>
              <w:t>The bigger PropelGo story</w:t>
            </w:r>
            <w:r>
              <w:br/>
              <w:t>ODCC helps with commercial credit and card-based spending. Versa helps with vendor and supplier payments. The Orchestration Layer provides the underlying connectivity and infrastructure. Together, they represent PropelGo's broader approach to modernising B2B payments.</w:t>
            </w:r>
          </w:p>
        </w:tc>
      </w:tr>
    </w:tbl>
    <w:p w:rsidR="00711276" w:rsidRDefault="00711276"/>
    <w:p w:rsidR="007D4231" w:rsidRDefault="007D4231">
      <w:pPr>
        <w:pStyle w:val="Heading1"/>
      </w:pPr>
    </w:p>
    <w:p w:rsidR="00711276" w:rsidRDefault="00711276"/>
    <w:p w:rsidR="00711276" w:rsidRDefault="00711276"/>
    <w:sectPr w:rsidR="0071127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539914">
    <w:abstractNumId w:val="8"/>
  </w:num>
  <w:num w:numId="2" w16cid:durableId="796989981">
    <w:abstractNumId w:val="6"/>
  </w:num>
  <w:num w:numId="3" w16cid:durableId="923492775">
    <w:abstractNumId w:val="5"/>
  </w:num>
  <w:num w:numId="4" w16cid:durableId="72048486">
    <w:abstractNumId w:val="4"/>
  </w:num>
  <w:num w:numId="5" w16cid:durableId="1096094696">
    <w:abstractNumId w:val="7"/>
  </w:num>
  <w:num w:numId="6" w16cid:durableId="587348247">
    <w:abstractNumId w:val="3"/>
  </w:num>
  <w:num w:numId="7" w16cid:durableId="633756496">
    <w:abstractNumId w:val="2"/>
  </w:num>
  <w:num w:numId="8" w16cid:durableId="334844498">
    <w:abstractNumId w:val="1"/>
  </w:num>
  <w:num w:numId="9" w16cid:durableId="5566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276"/>
    <w:rsid w:val="007D4231"/>
    <w:rsid w:val="00AA1D8D"/>
    <w:rsid w:val="00B47730"/>
    <w:rsid w:val="00CB0664"/>
    <w:rsid w:val="00F50A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D4B84"/>
  <w14:defaultImageDpi w14:val="300"/>
  <w15:docId w15:val="{E934F1E6-89F2-3F49-8915-F7B1D44A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Dakshta Tomar</cp:lastModifiedBy>
  <cp:revision>3</cp:revision>
  <dcterms:created xsi:type="dcterms:W3CDTF">2013-12-23T23:15:00Z</dcterms:created>
  <dcterms:modified xsi:type="dcterms:W3CDTF">2026-10-07T12:40:00Z</dcterms:modified>
  <cp:category/>
</cp:coreProperties>
</file>