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279E" w:rsidRP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eastAsia="en-GB"/>
        </w:rPr>
      </w:pPr>
      <w:proofErr w:type="spellStart"/>
      <w:r w:rsidRPr="0044279E"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eastAsia="en-GB"/>
        </w:rPr>
        <w:t>PropelGo</w:t>
      </w:r>
      <w:proofErr w:type="spellEnd"/>
      <w:r w:rsidRPr="0044279E"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eastAsia="en-GB"/>
        </w:rPr>
        <w:t xml:space="preserve"> </w:t>
      </w:r>
      <w:r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eastAsia="en-GB"/>
        </w:rPr>
        <w:t xml:space="preserve">| </w:t>
      </w:r>
      <w:r w:rsidRPr="0044279E"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eastAsia="en-GB"/>
        </w:rPr>
        <w:t>Product Overview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 xml:space="preserve">Product Understanding Document </w:t>
      </w:r>
    </w:p>
    <w:p w:rsidR="0044279E" w:rsidRPr="0044279E" w:rsidRDefault="0044279E" w:rsidP="0044279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en-GB"/>
        </w:rPr>
        <w:t xml:space="preserve">01. </w:t>
      </w:r>
      <w:proofErr w:type="spellStart"/>
      <w:r w:rsidRPr="0044279E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en-GB"/>
        </w:rPr>
        <w:t>PropelGo</w:t>
      </w:r>
      <w:proofErr w:type="spellEnd"/>
      <w:r w:rsidRPr="0044279E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en-GB"/>
        </w:rPr>
        <w:t xml:space="preserve"> </w:t>
      </w:r>
      <w:r w:rsidR="00BF4122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en-GB"/>
        </w:rPr>
        <w:t>:</w:t>
      </w:r>
      <w:r w:rsidRPr="0044279E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en-GB"/>
        </w:rPr>
        <w:t xml:space="preserve"> At a Glance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proofErr w:type="spellStart"/>
      <w:r w:rsidRPr="0044279E">
        <w:rPr>
          <w:rFonts w:ascii="Helvetica" w:eastAsia="Times New Roman" w:hAnsi="Helvetica" w:cs="Times New Roman"/>
          <w:color w:val="000000"/>
          <w:lang w:eastAsia="en-GB"/>
        </w:rPr>
        <w:t>PropelGo</w:t>
      </w:r>
      <w:proofErr w:type="spellEnd"/>
      <w:r w:rsidRPr="0044279E">
        <w:rPr>
          <w:rFonts w:ascii="Helvetica" w:eastAsia="Times New Roman" w:hAnsi="Helvetica" w:cs="Times New Roman"/>
          <w:color w:val="000000"/>
          <w:lang w:eastAsia="en-GB"/>
        </w:rPr>
        <w:t xml:space="preserve"> is a B2B fintech company building payment solutions for enterprises, banks and financial institutions.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Our product ecosystem brings together commercial credit, cards, vendor payments and payment orchestration to help businesses manage and execute payments with greater control, visibility and efficiency.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Our three core products are:</w:t>
      </w:r>
    </w:p>
    <w:p w:rsidR="0044279E" w:rsidRPr="0044279E" w:rsidRDefault="0044279E" w:rsidP="0044279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ODCC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> </w:t>
      </w:r>
      <w:r w:rsidR="00BF4122">
        <w:rPr>
          <w:rFonts w:ascii="Helvetica" w:eastAsia="Times New Roman" w:hAnsi="Helvetica" w:cs="Times New Roman"/>
          <w:color w:val="000000"/>
          <w:lang w:eastAsia="en-GB"/>
        </w:rPr>
        <w:t>: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 xml:space="preserve"> OD/CC-linked commercial card</w:t>
      </w:r>
    </w:p>
    <w:p w:rsidR="0044279E" w:rsidRPr="0044279E" w:rsidRDefault="0044279E" w:rsidP="0044279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Versa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> </w:t>
      </w:r>
      <w:r w:rsidR="00BF4122">
        <w:rPr>
          <w:rFonts w:ascii="Helvetica" w:eastAsia="Times New Roman" w:hAnsi="Helvetica" w:cs="Times New Roman"/>
          <w:color w:val="000000"/>
          <w:lang w:eastAsia="en-GB"/>
        </w:rPr>
        <w:t>: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 xml:space="preserve"> Enterprise vendor payment platform</w:t>
      </w:r>
    </w:p>
    <w:p w:rsidR="0044279E" w:rsidRPr="0044279E" w:rsidRDefault="0044279E" w:rsidP="0044279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Payment Orchestration Layer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> </w:t>
      </w:r>
      <w:r w:rsidR="00BF4122">
        <w:rPr>
          <w:rFonts w:ascii="Helvetica" w:eastAsia="Times New Roman" w:hAnsi="Helvetica" w:cs="Times New Roman"/>
          <w:color w:val="000000"/>
          <w:lang w:eastAsia="en-GB"/>
        </w:rPr>
        <w:t>: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 xml:space="preserve"> Multi-bank, multi-network payment infrastructure</w:t>
      </w:r>
    </w:p>
    <w:p w:rsidR="0044279E" w:rsidRP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  <w:t>02. ODCC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What is ODCC?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ODCC is a commercial credit card linked to a corporate’s existing OD/CC working-capital facility.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It enables businesses to use eligible, already-sanctioned OD/CC limits for commercial-card spending, bringing existing working-capital credit into a modern card-based experience.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Core proposition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Existing working-capital credit </w:t>
      </w:r>
      <w:r w:rsidRPr="0044279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→</w:t>
      </w: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 Commercial-card spending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Instead of requiring a completely separate credit arrangement for commercial-card usage, ODCC connects the card experience to an existing eligible OD/CC facility.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Core capabilities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1. OD/CC-linked card access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Connect eligible OD/CC limits to a commercial-card experience.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2. Commercial spending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Enable eligible business spending through card-based payments.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lastRenderedPageBreak/>
        <w:t>3. Spend controls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Support controls around how business credit is used.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4. Digital card management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Digital journey for card onboarding, issuance and management.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5. Employee / cardholder management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Enable corporates to nominate and manage employees/cardholders.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6. Approval workflows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Support maker-checker / role-based approval processes.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7. Transaction visibility &amp; analytics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Provide visibility into card usage, transactions and reporting.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8. Multi-network capability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ODCC is designed to operate across supported card networks, including </w:t>
      </w: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Visa, Mastercard and </w:t>
      </w:r>
      <w:proofErr w:type="spellStart"/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RuPay</w:t>
      </w:r>
      <w:proofErr w:type="spellEnd"/>
      <w:r w:rsidRPr="0044279E">
        <w:rPr>
          <w:rFonts w:ascii="Helvetica" w:eastAsia="Times New Roman" w:hAnsi="Helvetica" w:cs="Times New Roman"/>
          <w:color w:val="000000"/>
          <w:lang w:eastAsia="en-GB"/>
        </w:rPr>
        <w:t>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Key business use cases</w:t>
      </w:r>
    </w:p>
    <w:p w:rsidR="0044279E" w:rsidRPr="0044279E" w:rsidRDefault="0044279E" w:rsidP="0044279E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Supplier payments</w:t>
      </w:r>
    </w:p>
    <w:p w:rsidR="0044279E" w:rsidRPr="0044279E" w:rsidRDefault="0044279E" w:rsidP="0044279E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Vendor payments</w:t>
      </w:r>
    </w:p>
    <w:p w:rsidR="0044279E" w:rsidRPr="0044279E" w:rsidRDefault="0044279E" w:rsidP="0044279E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Business travel</w:t>
      </w:r>
    </w:p>
    <w:p w:rsidR="0044279E" w:rsidRPr="0044279E" w:rsidRDefault="0044279E" w:rsidP="0044279E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Utilities</w:t>
      </w:r>
    </w:p>
    <w:p w:rsidR="0044279E" w:rsidRPr="0044279E" w:rsidRDefault="0044279E" w:rsidP="0044279E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Other eligible business expenses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Value to businesses</w:t>
      </w:r>
    </w:p>
    <w:p w:rsidR="0044279E" w:rsidRPr="0044279E" w:rsidRDefault="0044279E" w:rsidP="0044279E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Better utilisation of existing working-capital credit</w:t>
      </w:r>
    </w:p>
    <w:p w:rsidR="0044279E" w:rsidRPr="0044279E" w:rsidRDefault="0044279E" w:rsidP="0044279E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Working-capital flexibility</w:t>
      </w:r>
    </w:p>
    <w:p w:rsidR="0044279E" w:rsidRPr="0044279E" w:rsidRDefault="0044279E" w:rsidP="0044279E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Spend visibility and governance</w:t>
      </w:r>
    </w:p>
    <w:p w:rsidR="0044279E" w:rsidRPr="0044279E" w:rsidRDefault="0044279E" w:rsidP="0044279E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Digital-first card experience</w:t>
      </w:r>
    </w:p>
    <w:p w:rsidR="0044279E" w:rsidRPr="0044279E" w:rsidRDefault="0044279E" w:rsidP="0044279E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Simplified management of business spending</w:t>
      </w: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P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  <w:lastRenderedPageBreak/>
        <w:t>03. Versa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What is Versa?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Versa is </w:t>
      </w:r>
      <w:proofErr w:type="spellStart"/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PropelGo's</w:t>
      </w:r>
      <w:proofErr w:type="spellEnd"/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 enterprise vendor payment platform, powered by virtual cards.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It enables businesses to manage vendor and supplier payments through a controlled, automated and digitally managed payment experience.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Core proposition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One platform for enterprise vendor payments.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Versa brings together vendor management, virtual-card payments, approvals, controls, reconciliation and payment visibility in one platform.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Core capabilities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1. Virtual cards for vendor payments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Issue and use virtual cards for controlled vendor/supplier payments.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2. Vendor &amp; supplier management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Manage vendors and their payment relationships through one platform.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3. Payment automation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Automate recurring and operational vendor-payment workflows.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4. Approval workflows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Define and manage payment approvals and authorization processes.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5. Payment controls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Set controls around payment amounts, vendors and spending activity.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6. Transaction monitoring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Track payment activity and transaction-level information.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7. Payment reconciliation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Simplify reconciliation and improve visibility across payment transactions.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8. Multi-bank capability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Support payment operations across multiple banking relationships.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9. Multi-network capability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Support virtual-card payments across relevant card networks.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10. API &amp; ERP integration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Enable integration with enterprise systems and existing workflows.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lastRenderedPageBreak/>
        <w:t>Key use cases</w:t>
      </w:r>
    </w:p>
    <w:p w:rsidR="0044279E" w:rsidRPr="0044279E" w:rsidRDefault="0044279E" w:rsidP="0044279E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Vendor payments</w:t>
      </w:r>
    </w:p>
    <w:p w:rsidR="0044279E" w:rsidRPr="0044279E" w:rsidRDefault="0044279E" w:rsidP="0044279E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Supplier payments</w:t>
      </w:r>
    </w:p>
    <w:p w:rsidR="0044279E" w:rsidRPr="0044279E" w:rsidRDefault="0044279E" w:rsidP="0044279E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Recurring business payments</w:t>
      </w:r>
    </w:p>
    <w:p w:rsidR="0044279E" w:rsidRPr="0044279E" w:rsidRDefault="0044279E" w:rsidP="0044279E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Procurement-related payments</w:t>
      </w:r>
    </w:p>
    <w:p w:rsidR="0044279E" w:rsidRPr="0044279E" w:rsidRDefault="0044279E" w:rsidP="0044279E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Travel-related vendor payments</w:t>
      </w:r>
    </w:p>
    <w:p w:rsidR="0044279E" w:rsidRPr="0044279E" w:rsidRDefault="0044279E" w:rsidP="0044279E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Other controlled B2B payments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Value to businesses</w:t>
      </w:r>
    </w:p>
    <w:p w:rsidR="0044279E" w:rsidRPr="0044279E" w:rsidRDefault="0044279E" w:rsidP="0044279E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Automate manual payment processes</w:t>
      </w:r>
    </w:p>
    <w:p w:rsidR="0044279E" w:rsidRPr="0044279E" w:rsidRDefault="0044279E" w:rsidP="0044279E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Improve payment visibility</w:t>
      </w:r>
    </w:p>
    <w:p w:rsidR="0044279E" w:rsidRPr="0044279E" w:rsidRDefault="0044279E" w:rsidP="0044279E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Strengthen spend controls</w:t>
      </w:r>
    </w:p>
    <w:p w:rsidR="0044279E" w:rsidRPr="0044279E" w:rsidRDefault="0044279E" w:rsidP="0044279E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Simplify reconciliation</w:t>
      </w:r>
    </w:p>
    <w:p w:rsidR="0044279E" w:rsidRPr="0044279E" w:rsidRDefault="0044279E" w:rsidP="0044279E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Reduce operational complexity</w:t>
      </w:r>
    </w:p>
    <w:p w:rsidR="0044279E" w:rsidRPr="0044279E" w:rsidRDefault="0044279E" w:rsidP="0044279E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Manage vendor payments from a single platform</w:t>
      </w:r>
    </w:p>
    <w:p w:rsidR="0044279E" w:rsidRPr="0044279E" w:rsidRDefault="0044279E" w:rsidP="0044279E">
      <w:pPr>
        <w:rPr>
          <w:rFonts w:ascii="Helvetica" w:eastAsia="Times New Roman" w:hAnsi="Helvetica" w:cs="Times New Roman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</w:p>
    <w:p w:rsidR="0044279E" w:rsidRP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  <w:lastRenderedPageBreak/>
        <w:t>04. Payment Orchestration Layer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What is Payment Orchestration?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proofErr w:type="spellStart"/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PropelGo's</w:t>
      </w:r>
      <w:proofErr w:type="spellEnd"/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 Payment Orchestration Layer connects enterprises with multiple banks, card networks and payment infrastructure through a unified platform.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It acts as the layer that helps enterprises manage different payment connections, routes and workflows without having to build and maintain every integration separately.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Core proposition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One integration. Multiple payment connections. Unified control.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The orchestration layer is designed to connect different components of the payment ecosystem and provide a common layer for managing payment flows.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Core capabilities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1. Multi-bank connectivity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Connect with multiple banking partners through a unified platform.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2. Multi-network connectivity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Support multiple card/payment networks through the orchestration layer.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3. Payment routing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Route payment flows across available payment connections based on configured rules.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4. Workflow automation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Automate payment workflows and operational processes.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5. Unified visibility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Bring payment activity and information into a consolidated view.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6. Reconciliation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Support reconciliation across payment flows and connected systems.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7. Settlement management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Support settlement-related payment operations.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8. Analytics &amp; reporting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Provide visibility and reporting across payment activity.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9. API-first architecture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Enable enterprises and partners to integrate payment capabilities into their existing systems.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lastRenderedPageBreak/>
        <w:t>10. Card &amp; payment infrastructure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br/>
        <w:t>Support capabilities across commercial cards, virtual cards and enterprise payments.</w:t>
      </w:r>
    </w:p>
    <w:p w:rsidR="0044279E" w:rsidRPr="0044279E" w:rsidRDefault="0044279E" w:rsidP="0044279E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kern w:val="36"/>
          <w:sz w:val="36"/>
          <w:szCs w:val="36"/>
          <w:lang w:eastAsia="en-GB"/>
        </w:rPr>
        <w:t>05. How the Three Products Fit Together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This is an important section for EIPI because </w:t>
      </w: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the three products should not be presented as three unrelated products.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ODCC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Credit </w:t>
      </w:r>
      <w:r w:rsidRPr="0044279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→</w:t>
      </w: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 Commercial Card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Brings existing OD/CC working-capital limits into a commercial-card experience.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Versa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Vendor Payments </w:t>
      </w:r>
      <w:r w:rsidRPr="0044279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→</w:t>
      </w: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 Virtual Cards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Helps enterprises manage and automate vendor/supplier payments through virtual cards.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Orchestration Layer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Multiple Payment Connections </w:t>
      </w:r>
      <w:r w:rsidRPr="0044279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→</w:t>
      </w: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 xml:space="preserve"> One Platform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>Provides the underlying orchestration layer connecting payment flows across banks, networks and payment infrastructure.</w:t>
      </w:r>
    </w:p>
    <w:p w:rsidR="0044279E" w:rsidRPr="0044279E" w:rsidRDefault="0044279E" w:rsidP="0044279E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sz w:val="27"/>
          <w:szCs w:val="27"/>
          <w:lang w:eastAsia="en-GB"/>
        </w:rPr>
        <w:t>The bigger picture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ODCC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> addresses commercial credit and card-based business spending.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Versa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> addresses enterprise vendor and supplier payments.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Orchestration Layer</w:t>
      </w:r>
      <w:r w:rsidRPr="0044279E">
        <w:rPr>
          <w:rFonts w:ascii="Helvetica" w:eastAsia="Times New Roman" w:hAnsi="Helvetica" w:cs="Times New Roman"/>
          <w:color w:val="000000"/>
          <w:lang w:eastAsia="en-GB"/>
        </w:rPr>
        <w:t> provides the connectivity and infrastructure layer that can support broader enterprise payment flows.</w:t>
      </w:r>
    </w:p>
    <w:p w:rsidR="0044279E" w:rsidRPr="0044279E" w:rsidRDefault="0044279E" w:rsidP="0044279E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en-GB"/>
        </w:rPr>
      </w:pPr>
      <w:r w:rsidRPr="0044279E">
        <w:rPr>
          <w:rFonts w:ascii="Helvetica" w:eastAsia="Times New Roman" w:hAnsi="Helvetica" w:cs="Times New Roman"/>
          <w:color w:val="000000"/>
          <w:lang w:eastAsia="en-GB"/>
        </w:rPr>
        <w:t xml:space="preserve">Together, they form </w:t>
      </w:r>
      <w:proofErr w:type="spellStart"/>
      <w:r w:rsidRPr="0044279E">
        <w:rPr>
          <w:rFonts w:ascii="Helvetica" w:eastAsia="Times New Roman" w:hAnsi="Helvetica" w:cs="Times New Roman"/>
          <w:color w:val="000000"/>
          <w:lang w:eastAsia="en-GB"/>
        </w:rPr>
        <w:t>PropelGo's</w:t>
      </w:r>
      <w:proofErr w:type="spellEnd"/>
      <w:r w:rsidRPr="0044279E">
        <w:rPr>
          <w:rFonts w:ascii="Helvetica" w:eastAsia="Times New Roman" w:hAnsi="Helvetica" w:cs="Times New Roman"/>
          <w:color w:val="000000"/>
          <w:lang w:eastAsia="en-GB"/>
        </w:rPr>
        <w:t xml:space="preserve"> broader approach to </w:t>
      </w:r>
      <w:r w:rsidRPr="0044279E">
        <w:rPr>
          <w:rFonts w:ascii="Helvetica" w:eastAsia="Times New Roman" w:hAnsi="Helvetica" w:cs="Times New Roman"/>
          <w:b/>
          <w:bCs/>
          <w:color w:val="000000"/>
          <w:lang w:eastAsia="en-GB"/>
        </w:rPr>
        <w:t>modernising B2B payment operations.</w:t>
      </w:r>
    </w:p>
    <w:p w:rsidR="00351D8B" w:rsidRDefault="00351D8B">
      <w:pPr>
        <w:rPr>
          <w:rFonts w:ascii="Helvetica" w:hAnsi="Helvetica"/>
        </w:rPr>
      </w:pPr>
    </w:p>
    <w:p w:rsidR="0044279E" w:rsidRPr="0044279E" w:rsidRDefault="0044279E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*</w:t>
      </w:r>
      <w:r w:rsidRPr="0044279E">
        <w:rPr>
          <w:rFonts w:ascii="Helvetica" w:hAnsi="Helvetica"/>
          <w:b/>
          <w:bCs/>
        </w:rPr>
        <w:t xml:space="preserve">This document is intended to provide a high-level understanding of </w:t>
      </w:r>
      <w:proofErr w:type="spellStart"/>
      <w:r w:rsidRPr="0044279E">
        <w:rPr>
          <w:rFonts w:ascii="Helvetica" w:hAnsi="Helvetica"/>
          <w:b/>
          <w:bCs/>
        </w:rPr>
        <w:t>PropelGo's</w:t>
      </w:r>
      <w:proofErr w:type="spellEnd"/>
      <w:r w:rsidRPr="0044279E">
        <w:rPr>
          <w:rFonts w:ascii="Helvetica" w:hAnsi="Helvetica"/>
          <w:b/>
          <w:bCs/>
        </w:rPr>
        <w:t xml:space="preserve"> products and capabilities for creative, branding and communication development. It is not intended to be a complete technical, operational or product-specification document.</w:t>
      </w:r>
    </w:p>
    <w:sectPr w:rsidR="0044279E" w:rsidRPr="0044279E" w:rsidSect="00992E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02825"/>
    <w:multiLevelType w:val="multilevel"/>
    <w:tmpl w:val="96F4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4167"/>
    <w:multiLevelType w:val="multilevel"/>
    <w:tmpl w:val="B24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C519A"/>
    <w:multiLevelType w:val="multilevel"/>
    <w:tmpl w:val="AB40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0547B"/>
    <w:multiLevelType w:val="multilevel"/>
    <w:tmpl w:val="753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3020"/>
    <w:multiLevelType w:val="multilevel"/>
    <w:tmpl w:val="DB6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737010">
    <w:abstractNumId w:val="2"/>
  </w:num>
  <w:num w:numId="2" w16cid:durableId="1846049860">
    <w:abstractNumId w:val="3"/>
  </w:num>
  <w:num w:numId="3" w16cid:durableId="30694777">
    <w:abstractNumId w:val="0"/>
  </w:num>
  <w:num w:numId="4" w16cid:durableId="1837109829">
    <w:abstractNumId w:val="4"/>
  </w:num>
  <w:num w:numId="5" w16cid:durableId="1407609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9E"/>
    <w:rsid w:val="003021E6"/>
    <w:rsid w:val="00351D8B"/>
    <w:rsid w:val="0044279E"/>
    <w:rsid w:val="00992EE2"/>
    <w:rsid w:val="00B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7CD3C"/>
  <w15:chartTrackingRefBased/>
  <w15:docId w15:val="{771060C2-7CB3-A448-8436-C8ABCE67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279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4279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4279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9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4279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4279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427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4279E"/>
    <w:rPr>
      <w:b/>
      <w:bCs/>
    </w:rPr>
  </w:style>
  <w:style w:type="character" w:customStyle="1" w:styleId="apple-converted-space">
    <w:name w:val="apple-converted-space"/>
    <w:basedOn w:val="DefaultParagraphFont"/>
    <w:rsid w:val="00442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6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Dakshta Tomar</dc:creator>
  <cp:keywords/>
  <dc:description/>
  <cp:lastModifiedBy>Dakshta Tomar</cp:lastModifiedBy>
  <cp:revision>2</cp:revision>
  <dcterms:created xsi:type="dcterms:W3CDTF">2026-09-25T05:01:00Z</dcterms:created>
  <dcterms:modified xsi:type="dcterms:W3CDTF">2026-10-07T12:39:00Z</dcterms:modified>
</cp:coreProperties>
</file>