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Alternative Data Wallet Layer: Ecosystem Realities, Unit Economics, and Consolidation Constraints in 2026</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Ground-Truth Infrastructure of the Streaming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streaming alternative data ecosystem exists to bridge the visibility gap intentionally maintained by major platforms regarding subscriber retention, cross-platform viewership, and ad-tier economics. At the foundation of this ecosystem is the Wallet layer. By isolating the actual billing relationships through credit and debit card exhaust, bank application programming interface (API) feeds, and digital invoice tracking, the Wallet layer derives ground-truth metrics. These include cohort survival curves, premium-to-ad-supported plan-mix migration, cross-platform wallet mapping, and serial-churner behavior over rolling 12-month windows.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mid-2026, the alternative data market is undergoing significant expansion, with macro projections estimating total market size between $17.78 billion and $30 billion by the end of the year. This variance in market sizing reflects differences in definitional strictness, with narrower models focusing strictly on investment management spend (projected at $15.4 billion in 2025) and broader models incorporating the surrounding infrastructure required to govern, enrich, and activate the data.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this expanding market, the Wallet layer faces unprecedented structural pressures. The distinguishing legal exposure of this sector is financial-transaction consent, entirely distinct from the device-level consent frameworks (such as Apple's App Tracking Tracking) that govern mobile ad-tech. This transaction-centric dynamic places Wallet-layer vendors directly in the crosshairs of overlapping regulatory frameworks—specifically, the Consumer Financial Protection Bureau (CFPB) Section 1033 open banking rules and California's Delete Request and Opt-Out Platform (DROP) mandate. Concurrently, traditional financial institutions are restructuring the unit economics of data access, converting formerly free aggregator pipelines into monetized API toll bridges.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Competitive Position, Ownership, and Capital Structures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mid-2026 landscape is defined by institutional consolidation, where broad multi-sector incumbents compete against specialized pure-plays. The capital structures of the dominant vendors reflect a transition from venture-backed growth to private equity optimization and corporate subsidiary integration.</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YipitData: Institutional Dominance and IPO Trajectory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YipitData operates as a broad, multi-sector incumbent in the alternative data space, heavily capitalized by private equity and having absorbed 1010data in 2023. The capitalization table is currently dominated by institutional investors, effectively shifting operational control away from founders James Moran and Vinicius Vacanti, who maintain a privately held aggregate stake estimated at 20% to 30%.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institutional weight belongs to The Carlyle Group, which secured its position following a $475 million Series E round in December 2021, and Norwest Venture Partners, which provided $175 million in growth equity in 2019. Carlyle exercises significant governance influence over YipitData's strategic direction. According to SEC filings, executives such as Scott Hughes (Chief Operating Officer, Corporate Private Equity Americas at Carlyle) and Patrick McCarter (Partner and Head of Global Technology, Media and Telecommunications Sector at Carlyle) occupy key board seats and oversee compensation and nominating committees.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Regarding the rumored 2026-2027 IPO or multi-billion dollar exit process, the mechanism has advanced beyond speculation but currently remains in a holding pattern. Secondary market data confirms that YipitData has submitted a confidential S-1 filing, marking a definitive advancement in the formal IPO preparation process. However, formal public listing procedures appear temporarily stalled or held in abeyance. This delay correlates with broader macroeconomic conditions and private market liquidity assessments, as Carlyle—which reported $477 billion in assets under management at the end of 2025—waits for optimal market timing to execute the transition to public equity.</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Consumer Edge and Earnest Analytics: Acquisition and Integration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Consumer Edge operates as a primary competitor to YipitData, bolstered by over $60 million in equity financing secured in January 2023 from CoVenture to accelerate its M&amp;A strategy. This capital deployment culminated in the April 14, 2025, acquisition of Earnest Analytics, a pioneer in transaction and healthcare data founded by Kevin Carson in 2012.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One year post-acquisition, the integration progress regarding a genuinely fused product—specifically marrying transaction data with healthcare and pharmacy claims—remains siloed. The combined entity has not shipped a unified, cross-validated transaction-healthcare signal. Instead, the two data assets largely operate as separate practice areas under the parent company. Consumer Edge continues to market its core macro and e-commerce web traffic signals (such as the Basketview Signal CPG, utilized to track brands like Kellanova and Mars), while Earnest Analytics maintains its distinct Orion Consumer Spend index and healthcare-specific analytics frameworks. The lack of a deeply fused product suggests that post-merger integration has prioritized back-office consolidation, dataset expansion, and client cross-selling over fundamental data-architecture synthesis.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Antenna: Streaming-Specific Specialization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Antenna occupies a specialized niche, focusing exclusively on subscription businesses and the streaming sector. The firm's capital structure is anchored by venture capital rather than large-cap private equity buyout funds. Antenna has raised a total of $13.8 million across two primary rounds (including a Series A), with core backing from Raine Ventures and Bertelsmann Digital Media Investments (BDMI). The cap table also includes participation from Grit Capital, Hyper, Imagination Capital, SK Ventures, Waverley Capital, and UTA Ventures. By avoiding the massive capital infusions seen at YipitData, Antenna maintains a leaner operational model heavily reliant on bespoke product depth rather than broad macroeconomic cross-sector coverage.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Bloomberg Second Measure and M Science: Corporate Subsidiaries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remainder of the tier-1 Wallet layer consists of fully absorbed corporate subsidiaries, eliminating independent venture cap tables entirely.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Bloomberg Second Measure:</w:t>
      </w:r>
      <w:r w:rsidDel="00000000" w:rsidR="00000000" w:rsidRPr="00000000">
        <w:rPr>
          <w:rtl w:val="0"/>
        </w:rPr>
        <w:t xml:space="preserve"> Fully acquired by Bloomberg, the entity derives its analytics from a U.S. consumer panel of over 20 million members covering more than five years of spending history. It operates as an integrated feature within the broader Bloomberg Terminal and alternative data ecosystem, providing intra-quarter key performance indicators (KPIs) to investment teams.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 Science:</w:t>
      </w:r>
      <w:r w:rsidDel="00000000" w:rsidR="00000000" w:rsidRPr="00000000">
        <w:rPr>
          <w:rtl w:val="0"/>
        </w:rPr>
        <w:t xml:space="preserve"> Operating as a data-driven research and analytics firm, M Science functions as a wholly owned subsidiary of Jefferies Financial Group Inc. (NYSE: JEF), formerly known as Leucadia. As of late 2025, M Science was grouped within a broader Jefferies headcount of 1,797 employees alongside subsidiaries like Stratos, Tessellis, and HomeFed.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Wallet-Layer Vendor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Backing / Ownership</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Status / Recent Cap Table Developments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YipitData</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Carlyle Group, Norwest Venture Partners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to Confidential S-1 filing; IPO timing currently stalled pending market conditions.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Consumer Edge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CoVenture ($60M equity financing)</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Acquired Earnest Analytics (April 2025); maintaining siloed transaction and healthcare data products.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Antenna</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BDMI, Raine Ventures, Waverley Capital</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Raised $13.8M; operating as an independent, specialized subscription measurement pure-play.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Bloomberg Second Measure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Bloomberg L.P.</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integrated corporate subsidiary.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 Science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Jefferies Financial Group (JEF)</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Fully integrated corporate subsidiary within Jefferies' broader headcount.</w:t>
            </w:r>
          </w:p>
        </w:tc>
      </w:tr>
    </w:tbl>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Margin Compression: The API Toll Bridge and Unit Economics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fundamental unit economics of the Wallet layer are undergoing a radical shift. Historically, data aggregators (such as Plaid, Yodlee, and Finicity) accessed bank data on behalf of fintechs and alternative data vendors at zero marginal cost, often utilizing screen-scraping techniques or free API gateways. This paradigm collapsed with the establishment of the JPMorgan Chase precedent in 2025.</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JPMorgan Chase Precedent and Pricing Structure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late 2025, JPMorgan Chase finalized agreements with data aggregators representing over 95% of third-party data requests—specifically Plaid, Yodlee, Morningstar, and Akoya—to charge for API access to customer account data. The bank justified this monetization by citing severe infrastructure strain, noting that its systems process approximately two billion account access requests monthly, up from one billion in 2023.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negotiated fee structure establishes a hard operational cost for data retrieval. While the exact contract terms remain proprietary, industry sources confirm the pricing is set at "fractions of a cent per data pull." While seemingly microscopic—especially when compared to the NACHA ACH per-transaction fee of 1.85 hundredths of a cent or standard credit card interchange fees—the aggregate financial impact is severe given the high-frequency query requirements of the alternative data sector. Initial estimates circulated in Forbes suggested Plaid could face on the order of $300 million in new annual fees under this structure.</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Spread to Tier-1 Competitors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contagion of the per-pull API access fee model is in motion across the banking cartel. Major institutions including Bank of America, Wells Fargo, and Citi have heavily invested in transaction banking modernization and data platforms, reaching a critical mass in their technical infrastructure in 2025.</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 / Ticker</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Change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 Close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JPM JPMorgan Chase &amp; Co</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$337.72</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+45.75</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+15.67%</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$332.97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hyperlink r:id="rId7">
              <w:r w:rsidDel="00000000" w:rsidR="00000000" w:rsidRPr="00000000">
                <w:rPr>
                  <w:color w:val="0000ee"/>
                  <w:u w:val="single"/>
                  <w:rtl w:val="0"/>
                </w:rPr>
                <w:t xml:space="preserve">BAC Bank of America Corp</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$59.90</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+11.24</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+23.10%</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$58.73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WFC Wells Fargo &amp; Co</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$87.45</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+5.11</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+6.21%</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C Citigroup Inc</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$143.86</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+56.26</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+64.22%</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$139.97</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Explicit confirmation that Bank of America, Wells Fargo, and Citi have formally activated and enforced identical per-pull API access fees against aggregators is not yet public. What is confirmed is that a data access network comprising 12 of the largest banks in North America has signed data-sharing agreements with entities like Pentadata. The broader ecosystem expectation is that legacy banks recognize data access as a proprietary asset, and industry analysts project that Citi, Wells Fargo, and Bank of America will soon distribute similar fee schedules. As JPMorgan executive Prochaska noted, once data collectors are forced to pay for API access, they become significantly more judicious about the volume of data they pull, effectively reducing server load for the banks.</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End-Client Pricing Repercussions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introduction of these wholesale infrastructure costs, Wallet-layer vendors themselves (e.g., YipitData, Consumer Edge, Antenna) are not yet bearing the brunt of the API access fees. Plaid has publicly stated it will not pass the "fractions of a cent" cost down to its approximately 7,000 clients, opting instead to absorb the margin compression internally to ensure continuity of service and defend its market share.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Consequently, there is no public commentary from end-clients like YipitData, Consumer Edge, or Antenna indicating immediate retail pricing hikes for their respective alternative data buyers. However, a second-order consequence is inevitable: by absorbing these costs, major aggregators like Plaid establish a financial moat that smaller data brokers cannot cross. Wallet-layer vendors reliant on cheaper, second-tier aggregators may face service degradation or forced migration to premium aggregators, structurally raising the operational floor for the entire alternative data industry.</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CFPB Section 1033 Regulatory Clash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commercial monetization exists in a paradoxical tension with federal regulation. On October 22, 2024, the CFPB issued its final rule on personal financial data rights under Section 1033 of the Dodd-Frank Act. The rule mandates that financial institutions provide consumers and authorized third parties with free access to covered consumer personal financial data in a standardized electronic format.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rule explicitly invokes the CFPB's authority under Section 1022(b)(1) of the Consumer Financial Protection Act to prevent the evasion of consumer data rights via prohibitive cost structures. The CFPB formally noted that if data providers were permitted to decide what fee to charge, they could effectively limit or eliminate the statutory rights conferred by Section 1033.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banking sector has navigated this constraint by bifurcating the concept of access. While an individual consumer's direct request remains free, the banks classify the high-frequency, bulk infrastructure pipelines utilized by Plaid and Yodlee as distinct commercial services necessitating compensation for security, fraud monitoring, and server load. The future of Section 1033 enforcement remains highly uncertain. The Financial Technology Association (FTA) has lobbied against these fees, but the CFPB faces existential challenges to its funding structure and operational survival under new political administrations in 2026, leaving the enforcement of the open banking rule in a precarious position.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California's Delete Act (DROP): Compliance Reality and Operational Constraints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legal exposure for the Wallet layer is financial-transaction consent. Unlike device-level tracking, transaction data relies on explicit user consent via aggregator terms of service. This exposes the ecosystem to California's Senate Bill 362, the Delete Act, which established the Delete Request and Opt-Out Platform (DROP).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Explicit Conflict Flag:</w:t>
      </w:r>
      <w:r w:rsidDel="00000000" w:rsidR="00000000" w:rsidRPr="00000000">
        <w:rPr>
          <w:rtl w:val="0"/>
        </w:rPr>
        <w:t xml:space="preserve"> The research objective queries whether an actual Wallet-layer vendor has been named in a DROP enforcement action, fine, or public compliance failure "since the August 1, 2026 deadline." As of the current operational date (July 7, 2026), the August 1, 2026, deletion enforcement deadline resides in the future. Consequently, it is a chronological impossibility for any vendor to have been cited for a post-deadline deletion failure. The analysis below reflects the immediate compliance realities, active administrative penalties for registration, and the impending financial exposures.</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45-Day Query Cycle and Operational Costs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mandate of DROP transforms data deletion from a reactive, manual process into a continuous engineering requirement. Covered data brokers must register with the California Privacy Protection Agency (CalPrivacy) annually (by January 31), incurring a mandatory registration fee of $6,000 per legal entity.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critically, beginning August 1, 2026, data brokers are legally required to query the DROP API at least once every 45 days to retrieve aggregated consumer deletion requests. Once a deletion list is retrieved, the vendor has 90 days to execute a highly complex operational cascade.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vendor must:</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Match the request against internal records across all data systems using standard identifiers (name, email, phone, date of birth).</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Delete the raw personal data and all inferred algorithms or behavioral models derived from that data.</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Cascade the deletion order downstream to all service providers, contractors, and third-party data partners.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Report the outcome back into the DROP system using standardized status codes within the designated timeframe.</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Maintain suppression lists to ensure personal information is not re-collected or resold in the future.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realistic operational costs for maintaining this infrastructure are substantial. Vendors and legal analysts report that implementing traditional Data Subject Request (DSR) vendor integrations to connect primary databases, CRMs, and downstream systems costs between $20,000 and $50,000 per system integration. Managing this recurring 45-day cycle via manual processes or spreadsheets is operationally impossible at scale, forcing Wallet-layer entities to internalize perpetual software-as-a-service (SaaS) overhead to ensure compliance.</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Penalty Exposure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August 1 deletion enforcement deadline is forthcoming, late registration fines are already active. Data brokers that failed to register and create a DROP account by January 31, 2026, trigger a baseline $200-per-day administrative penalty, plus CalPrivacy's investigative costs.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true existential threat activates in August. The statutory penalty for failing to process a DROP request is $200 per day, per unaddressed deletion request. With over 215,000 California consumers already registered on the DROP platform, the financial exposure compounds exponentially. A Wallet-layer vendor experiencing a systemic API failure that misses just 5,000 requests would accumulate $1,000,000 in liability per day ($30,000,000 over a 30-day non-compliance window).</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compounding exposure dictates that only highly capitalized alt-data vendors will survive the post-August regulatory environment, serving as a powerful catalyst for further industry consolidation. Furthermore, states like Connecticut have already passed similar legislation (Public Act No. 26-64), establishing an accessible deletion mechanism program launching by July 1, 2028, ensuring this regulatory burden will scale nationally.</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Product Depth and Differentiation: Antenna's Subscriber Views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command premium pricing amid rising API overhead and compliance costs, Wallet-layer vendors must deliver highly differentiated, multi-signal fusion. Antenna's "Subscriber Views" product represents the vanguard of this methodology in the streaming sector.</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and Functionality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Subscriber Views fundamentally fuses licensed Automatic Content Recognition (ACR) data with Antenna's proprietary streaming transaction panels. This fusion derives causal relationships between specific pieces of content and wallet behavior, utilizing AI and advanced machine learning to go beyond traditional audience reach metrics.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merely reporting that a show was watched, the product quantifies programming value across three critical axes: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Acquisition:</w:t>
      </w:r>
      <w:r w:rsidDel="00000000" w:rsidR="00000000" w:rsidRPr="00000000">
        <w:rPr>
          <w:rtl w:val="0"/>
        </w:rPr>
        <w:t xml:space="preserve"> Tracking which specific titles compel a consumer to initiate a paid subscription. For example, the tool estimated that the most popular show on Apple TV+ among new subscribers in June 2025 was </w:t>
      </w:r>
      <w:r w:rsidDel="00000000" w:rsidR="00000000" w:rsidRPr="00000000">
        <w:rPr>
          <w:i w:val="1"/>
          <w:iCs w:val="1"/>
          <w:rtl w:val="0"/>
        </w:rPr>
        <w:t xml:space="preserve">Stick</w:t>
      </w:r>
      <w:r w:rsidDel="00000000" w:rsidR="00000000" w:rsidRPr="00000000">
        <w:rPr>
          <w:rtl w:val="0"/>
        </w:rPr>
        <w:t xml:space="preserve">, which was watched by 33% of new sign-ups (just under 700,000 viewers).</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Retention:</w:t>
      </w:r>
      <w:r w:rsidDel="00000000" w:rsidR="00000000" w:rsidRPr="00000000">
        <w:rPr>
          <w:rtl w:val="0"/>
        </w:rPr>
        <w:t xml:space="preserve"> Measuring the cohort survival rate of users who engaged with a specific program compared to the baseline subscriber average. Antenna identified that 98% of Apple TV+ subscribers who watched </w:t>
      </w:r>
      <w:r w:rsidDel="00000000" w:rsidR="00000000" w:rsidRPr="00000000">
        <w:rPr>
          <w:i w:val="1"/>
          <w:iCs w:val="1"/>
          <w:rtl w:val="0"/>
        </w:rPr>
        <w:t xml:space="preserve">The Buccaneers</w:t>
      </w:r>
      <w:r w:rsidDel="00000000" w:rsidR="00000000" w:rsidRPr="00000000">
        <w:rPr>
          <w:rtl w:val="0"/>
        </w:rPr>
        <w:t xml:space="preserve"> in June 2025 remained subscribed through the end of July, outperforming the 92% benchmark for all Apple TV+ subscribers.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Engagement:</w:t>
      </w:r>
      <w:r w:rsidDel="00000000" w:rsidR="00000000" w:rsidRPr="00000000">
        <w:rPr>
          <w:rtl w:val="0"/>
        </w:rPr>
        <w:t xml:space="preserve"> Mapping viewing behavior of different cohorts both on and off a given streaming service before and after tuning into a tentpole release.</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Adoption, and Competition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Explicit Conflict Flag:</w:t>
      </w:r>
      <w:r w:rsidDel="00000000" w:rsidR="00000000" w:rsidRPr="00000000">
        <w:rPr>
          <w:rtl w:val="0"/>
        </w:rPr>
        <w:t xml:space="preserve"> The research objective requires the exact cost of Antenna's Subscriber Views product and a list of public adopters. However, a comprehensive review of the primary documentation and trade press confirms that public pricing schedules (e.g., annual license fees) and named client adoption rosters for this specific product are actively withheld from the public record. The sources explicitly state that this information is "unavailable in the document" and direct inquiries to internal sales channels.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Regarding direct competition, Antenna's product enjoys a temporary monopoly on this specific vector of fusion. There is no evidence in the trade press or SEC filings that YipitData or Consumer Edge have publicly launched a directly competitive ACR-plus-transaction fused product tailored to streaming content valuation. The incumbent giants are primarily engineered to track broader retail, e-commerce, and macroeconomic spending patterns. Antenna's ability to isolate the exact financial value of a specific television series remains a unique capability, isolating it from the broader commoditization of raw credit card panel data.</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Ecosystem Shifts: New Entrants and the Zero-Party Paradigm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cascading burdens of bank API fees and California's DROP mandate expose a fundamental vulnerability in the traditional alternative data supply chain: a reliance on third-party aggregation and passive consent. In response, a disruptive cohort of competitors is ascending, built entirely on zero-party, incentivized panel architectures.</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Mechanism of Immunity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Zero-party data represents information that a customer intentionally and proactively shares with a brand or platform, establishing a direct, reciprocal value exchange. In the Wallet layer, this manifests through receipt-scanning, survey, and financial-linking applications like Fetch Rewards, Ibotta, Bridge, and Drop.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platforms effectively bypass the Plaid/JPMorgan toll bridge and mitigate DROP/VPPA (Video Privacy Protection Act) exposure by design. Because consumers are explicitly compensated—via gamified points, cashback, or cryptocurrency—for uploading receipts or linking accounts, the consent is unambiguous, active, and continually reaffirmed. If a consumer utilizes DROP to sever third-party data broker ties, they inherently understand that deleting their profile on an incentivized app severs their revenue stream. This psychological and financial lock-in dramatically lowers churn and legal exposure compared to vendors relying on hidden end-user license agreements.</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Scale of the Challengers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scale of these new entrants now rivals or exceeds traditional passive panels, offering verified financial transaction data that eliminates the bias often found in self-reported surveys.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 Platform</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Focus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Base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Reward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Fetch Rewards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Universal receipts, SKU-level data</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17M+</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Gift cards, gamified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Ibotta</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Groceries, retail cashback</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40M+</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Cashback.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Rakuten</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shopping, automated coupons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15M+</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Cashback.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Shopkick</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In-store engagement, product scanning</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5M+</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Gift cards, PayPal.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Receipt Hog</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Gamified receipt scanning</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3M+</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PayPal, Amazon credit.</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platforms like Bridge and Drop utilize gamified interfaces, daily spins, and active task incentives (such as watching ads) to maintain high-frequency engagement with users' connected financial accounts. By capturing behavioral and financial transaction data directly from the consumer, these zero-party platforms provide verifiable intelligence that is automated, unfiltered, and highly resistant to state-level privacy interventions. As traditional Wallet-layer incumbents expend capital negotiating API access fees and engineering DROP compliance orchestration, zero-party challengers are redirecting capital toward user acquisition. This fundamentally shifts the locus of power away from the banks and back to the consumer edge, introducing a highly resilient dataset immune to the regulatory and infrastructural friction currently suffocating passive data aggregators.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Concluding Synthesis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mid-2026, the streaming alternative data ecosystem's Wallet layer is caught in a structural vice. Top-down, traditional financial institutions led by JPMorgan Chase are successfully transforming previously free open-banking infrastructure into monetized API networks, fundamentally altering the gross margins of data acquisition by imposing fractional-cent, per-pull fees. Bottom-up, state-level regulations like California's Delete Act mandate continuous, highly engineered compliance frameworks backed by existential financial penalties that compound daily.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Consolidation is the inevitable outcome of these dual pressures. Broad incumbents like YipitData (leveraging Carlyle's capital toward an eventual, though currently stalled, IPO) and Consumer Edge (absorbing Earnest Analytics) are scaling horizontally to absorb compliance costs across wider revenue bases. Meanwhile, specialists like Antenna are defending their market share vertically, creating deeply fused, proprietary metrics—such as linking ACR data to subscription survival curves—that generalists cannot easily replicate.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Looking ahead, the structural advantage in the Wallet layer lies with the emerging zero-party platforms. By constructing their panels through direct, incentivized consumer relationships, entities like Fetch, Ibotta, and Bridge elegantly bypass both the banking sector's new API toll roads and the regulatory state's passive privacy dragnets, positioning themselves as the most resilient ground-truth layer in the evolving data economy.</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Sources</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Alt Data Market to $30B in 2026: Forecasting Playbook | Ready Signal</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The state of the alternative data market in 2026 | Report - Neudata</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California Delete Act: DROP Deadline and Data Broker Rules - Cornerstone Licensing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nfo.neudata.co/the-state-of-the-alternative-data-market-in-2026" TargetMode="External"/><Relationship Id="rId10" Type="http://schemas.openxmlformats.org/officeDocument/2006/relationships/hyperlink" Target="https://www.readysignal.com/alt-data-market-30b-2026-forecasting-playbook/" TargetMode="External"/><Relationship Id="rId12" Type="http://schemas.openxmlformats.org/officeDocument/2006/relationships/hyperlink" Target="https://cornerstonelicensing.com/blog/california-delete-act-drop-deadline-and-data-broker-rules" TargetMode="External"/><Relationship Id="rId9" Type="http://schemas.openxmlformats.org/officeDocument/2006/relationships/hyperlink" Target="https://www.google.com/finance/beta/quote/C:NYSE" TargetMode="External"/><Relationship Id="rId5" Type="http://schemas.openxmlformats.org/officeDocument/2006/relationships/styles" Target="styles.xml"/><Relationship Id="rId6" Type="http://schemas.openxmlformats.org/officeDocument/2006/relationships/hyperlink" Target="https://www.google.com/finance/beta/quote/JPM:NYSE" TargetMode="External"/><Relationship Id="rId7" Type="http://schemas.openxmlformats.org/officeDocument/2006/relationships/hyperlink" Target="https://www.google.com/finance/beta/quote/BAC:NYSE" TargetMode="External"/><Relationship Id="rId8" Type="http://schemas.openxmlformats.org/officeDocument/2006/relationships/hyperlink" Target="https://www.google.com/finance/beta/quote/WFC:NY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