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Architecture of Ground-Truth: Subscriber Transaction Intelligence and the Evolution of the Wallet Layer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Structural Overview of the Streaming Alternative Data Ecosystem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modern direct-to-consumer (DTC) streaming and media ecosystem operates under a regime of systemic and deliberate information asymmetry. As massive technology conglomerates and legacy media studios consolidate content distribution architectures, they systematically withhold granular subscriber telemetry, viewership demographics, and unit economics from public markets. To pierce these corporate data silos, institutional investors, legacy studios, and advertising holding companies rely on an intricate alternative-data ecosystem specifically designed to reverse-engineer platform realities.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this structural hierarchy, the ecosystem is divided into distinct infrastructural strata, including the Glass layer (hardware-level attention verification via Automatic Content Recognition), the Shield layer (media quality and fraud verification), and the Demand layer (downstream digital intent and audience valuation). However, the foundational bedrock of ground-truth financial measurement is the Wallet layer, formally categorized as Subscriber Transaction Intelligence.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Unlike the Glass layer, which measures attention and viewership independently of financial commitment, or the Demand layer, which tracks digital intent via search volume and social velocity, the Wallet layer isolates the ultimate arbiter of consumer behavior: the billing relationship. This layer is constructed by aggregating, anonymizing, and analyzing massive volumes of credit and debit card data streams, direct banking API feeds, and digital invoice tracking. The operational mandate of the Wallet layer is to monitor exactly how capital flows through the subscription economy, parsing transactional exhaust to derive mission-critical metrics that dictate media valuations.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As of mid-2026, the Wallet layer finds itself at a critical structural inflection point. The foundational architecture of financial data aggregation is under immense pressure from a confluence of state-level regulatory mandates, aggressive commercial API tolling initiated by tier-1 financial institutions, and paradigm-shifting technological advancements in artificial intelligence. This comprehensive analysis examines the current capitalization and competitive positioning of the dominant Wallet layer vendors, evaluates the cascading economic impacts of bank-imposed data access fees, details the operational realities of perpetual privacy compliance under California law, and outlines the emergence of next-generation fused intelligence products.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Mechanics of Ground-Truth: Methodologies of the Wallet Layer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understand the strategic value of the Wallet layer, one must examine the specific analytical workflows it enables. Institutional buyers and corporate development teams do not ingest raw transaction data; rather, they utilize the Wallet layer to track and model highly specific subscription unit economics over extended timelines.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metric derived from this data is the cohort survival curve. By tracking a specific group of subscribers who signed up for a service in a given month, Wallet layer vendors can map the exact rate of attrition over multiple years, allowing analysts to accurately model customer lifetime value (LTV). Secondly, the Wallet layer tracks plan-mix migrations. As major streaming platforms universally introduce advertising-supported tiers, Wall Street requires precise visibility into how many consumers are downgrading from premium, ad-free tiers to lower-cost, ad-supported models, and whether these transitions are revenue-accretive or dilutive.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the Wallet layer uniquely enables cross-platform wallet mapping. When a consumer cancels a specific service, transaction intelligence can track where that entertainment budget is reallocated, determining whether the churn was an isolated event or part of a broader macroeconomic contraction in discretionary spending. Finally, the data facilitates the tracking of "serial churners"—highly transient consumers who repeatedly cancel and resubscribe to premium services over twelve-month trajectories. This specific behavioral segment represents an estimated $9 billion market opportunity, requiring specialized, long-term tracking to identify cyclical subscription hopping.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distinct metrics are routinely integrated into broader cross-layer triangulation workflows. Analysts frequently correlate content demand metrics with financial realities by taking a title-level "demand-expression spike" from attention-layer providers and time-lagging it against corresponding subscriber-retention or resubscription curves generated by the Wallet layer. Establishing causality in these models requires analyzing these correlations over specific lag windows while rigorously controlling for confounding variables, such as concurrent platform price increases or a competitor's simultaneous blockbuster title releases.</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Capital Structure and Consolidation: YipitData's Drive Toward Public Markets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competitive hierarchy within the Wallet layer is defined by a distinct bifurcation between scaled, multi-sector incumbents that leverage massive horizontal data volumes, and domain-specific specialists that compete on vertical depth. Driven by institutional capital, the sector has experienced intense consolidation.</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Historical Capitalization and Institutional Dominance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YipitData operates as the oldest and most dominant multi-sector incumbent in the alternative data ecosystem. Originally founded in 2010 as a daily-deal aggregator supported by a $1.34 million seed round from angel investors and venture capital, the company utilized its initial runway to build data engineering talent before executing a frictionless pivot in 2013 toward institutional research. Over the subsequent decade, YipitData built a formidable transactional infrastructure spanning ridesharing, e-commerce, payments, and digital media, relying on sheer multi-sector panel volume rather than media-specific verticalization.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capitalization of YipitData represents a textbook progression from founder-led operations to absolute institutional private equity dominance. The trajectory shifted radically in 2019 when Norwest Venture Partners injected $175 million in growth equity, valuing the company in the mid-hundreds of millions. This capital was utilized to accelerate go-to-market strategies, expand the client base across global consumer packaged goods (CPG) brands, and unlock capital markets access. The culmination of this growth phase was a massive $475 million Series E recapitalization in December 2021, led by The Carlyle Group, which definitively pushed the firm's valuation past the $1 billion threshold.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late 2025, market data indicated that institutional stakes had grown to represent an estimated 60% to 75% of YipitData's total voting power. The corporate cap table is now heavily oriented toward institutional governance, with board seats occupied by prominent private equity executives, including Jon Korngold of Carlyle and Parker Barrile of Norwest. These preferred shares carry superior liquidation preferences, veto rights on mergers and dilution, and strict drag-along provisions, ensuring that while founders Vinicius Vacanti and James Moran manage day-to-day operations, strategic control firmly resides with the lead institutional sponsors.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financial strength of its primary backer provides significant operational stability. The Carlyle Group (NASDAQ: CG) reported record 2025 metrics, including a U.S. GAAP income before income taxes of $1.2 billion and a total shareholder return of 119% from 2023 through 2025. Exiting 2025, Carlyle managed $477 billion in assets, subsequently reporting robust fee-related earnings of $300 million in the first quarter of 2026 despite a broader GAAP loss of $132.2 million. This massive institutional balance sheet effectively insulates YipitData from short-term market volatility.</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Operational Recalibration and the 2026-2027 IPO Trajectory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Between 2024 and 2026, YipitData's strategic playbook shifted dramatically from hypergrowth to strict margin optimization in preparation for a liquidity event. In 2023, the firm executed an aggressive horizontal integration by acquiring 1010data, a transaction reportedly financed with a mix of cash and equity. This acquisition brought former 1010data backers onto the cap table and diluted many early angel stakes through secondary buyouts, a deliberate cap-table optimization strategy characterized by analysts as deep "institutionalization". The revenue synergies from the 1010data integration were projected by brokers to lift annual recurring revenue (ARR) growth by 8% to 12% annually.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Rather than raising further dilutive equity, YipitData secured a conventional debt facility from the Canadian Imperial Bank of Commerce (CIBC) Innovation Banking division in June 2024. This debt-funded efficiency discipline anchored a mandate where internal teams must definitively prove return on investment (ROI) before executing spend. This recalibration was codified by targeted workforce reductions in late 2025, signaling a deliberate shift from hypergrowth to an efficiency-over-growth operating stance focused on durable, margin-accretive work.</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Regarding the specific status of YipitData's rumored 2026–2027 IPO or multi-billion dollar exit process, the current market intelligence indicates that the process remains heavily in the preparation phase and has neither stalled nor been formally confirmed via a public S-1 filing. The hiring of chief financial officers with extensive public-market experience and the deliberate tightening of unit economics directly align with readiness for a 2026-2027 liquidity event. Concurrently, YipitData remains a privately held company, with shares trading exclusively on private pre-IPO secondary marketplaces such as Hiive and EquityZen to accredited institutional investors, reflecting continuous, albeit restricted, secondary market demand.</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Macro-Economic Fusion: Consumer Edge and the Earnest Analytics Integration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Operating as the primary consolidator and direct challenger to YipitData's horizontal dominance is Consumer Edge, a massive multi-sector data broker backed by Treville Capital Group. Consumer Edge relies heavily on direct bank feeds, integrated credit panels, and sophisticated receipt scraping methodologies to track the digital economy.</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Earnest Analytics Acquisition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Consumer Edge structurally altered the alternative data ecosystem in April 2025 when it successfully acquired its rival, Earnest Analytics. This transaction marked a pivotal moment in industry consolidation, accelerating Consumer Edge's pivot from a boutique research firm into a fully integrated global data conglomerate. Prior to the acquisition, Earnest Analytics operated as a formidable standalone entity, maintaining massive datasets such as the Orion and Vela consumer spend panels, the Phoenix Pharmacy Claims database, and the Leo Medical Claims database.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strategic rationale underpinning the acquisition was the unification of Consumer Edge's traditional consumer transactional intelligence with Earnest Analytics’ highly specialized healthcare telemetry and pharmacy claims datasets. Earnest's pharmacy data captures longitudinal patient journeys across approximately 90 million domestic patients, providing visibility into specialty drug utilization and retail drug persistence. By marrying these assets, institutional buyers can theoretically access highly correlated, cross-vertical views of consumer spending, tracking macroeconomic behavioral shifts across discretionary retail entertainment and non-discretionary healthcare expenditures.</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Assessing True Product Fusion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 than a year post-acquisition, the fundamental question remains whether the combined Consumer Edge entity has shipped a genuinely fused product that mathematically intertwines transaction data with healthcare claims, or whether the two assets continue to operate as separate practice areas under a single corporate parent.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operational evidence points to a partial, ongoing integration rather than a complete molecular fusion at the row-level data layer. In March 2025, just prior to the finalization of the Earnest acquisition, Consumer Edge introduced "Click," a hybrid product that successfully fused web-traffic intent streams with downstream transaction streams for granular spend analysis. This demonstrated the firm's technical capability for cross-dataset fusion. Furthermore, internal corporate communications reference "integration-led stretch assignments" occurring throughout late 2025 and 2026, designed to drive ongoing integration projects that expand datasets and internal tooling across the two formerly distinct companies.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However, external vendor listings and data procurement platforms indicate that the datasets largely retain their distinct legacy architectures. Data platforms such as Neudata explicitly state that while Earnest Analytics was acquired by Consumer Edge, the "legacy Earnest products" (including the Orion panel, Vela panel, US closed medical claims, and US pharmacy claims) are kept as distinct listings, though product support is now offered exclusively through the Consumer Edge brand. Therefore, while the sales architecture and corporate governance have been definitively unified, institutional buyers are generally still procuring the consumer transaction panels and the healthcare claims panels as distinct, albeit complementary, analytical tools rather than a singular, mathematically fused intelligence feed.</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Domain Specialization and Title-Level Attribution: Antenna's Vertical Hegemony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stark contrast to the horizontal volume strategies of YipitData and Consumer Edge, Antenna has established market hegemony as a pure-play, streaming-specific domain specialist. Antenna's competitive advantage does not stem from massive multi-sector scale, but rather from early, targeted verticalization and a proprietary business-to-business (B2B) data-as-a-service dashboard specifically engineered for media corporate development teams.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Antenna's core methodology relies on specialized SVOD-specific digital invoicing and highly cultivated opt-in panels. Founded in 2019, the firm remains privately capitalized. Its early seed funding was backed by Raine Ventures, followed by a highly strategic $10 million Series A in February 2022 led by Bertelsmann Digital Media Investments (BDMI), alongside the Foundry Group. Antenna is universally recognized as the preferred vendor for reverse-engineering the exact lifetime value of streaming subscribers, pioneering the critical "M+1 retention" metrics utilized by media conglomerates to track serial churners and bundle efficacy.</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Architecture of Subscriber Views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base-layer transaction data becomes increasingly commoditized, Antenna has aggressively moved up the value chain through cross-layer data fusion. The most sophisticated execution of this strategy in the media vertical is Antenna's "Subscriber Views" product. Historically, the alternative data ecosystem was siloed. The Glass layer (via Automatic Content Recognition and smart TV pixel tracking) measured exactly </w:t>
      </w:r>
      <w:r w:rsidDel="00000000" w:rsidR="00000000" w:rsidRPr="00000000">
        <w:rPr>
          <w:i w:val="1"/>
          <w:iCs w:val="1"/>
          <w:rtl w:val="0"/>
        </w:rPr>
        <w:t xml:space="preserve">what</w:t>
      </w:r>
      <w:r w:rsidDel="00000000" w:rsidR="00000000" w:rsidRPr="00000000">
        <w:rPr>
          <w:rtl w:val="0"/>
        </w:rPr>
        <w:t xml:space="preserve"> audiences watched, while the Wallet layer measured </w:t>
      </w:r>
      <w:r w:rsidDel="00000000" w:rsidR="00000000" w:rsidRPr="00000000">
        <w:rPr>
          <w:i w:val="1"/>
          <w:iCs w:val="1"/>
          <w:rtl w:val="0"/>
        </w:rPr>
        <w:t xml:space="preserve">when</w:t>
      </w:r>
      <w:r w:rsidDel="00000000" w:rsidR="00000000" w:rsidRPr="00000000">
        <w:rPr>
          <w:rtl w:val="0"/>
        </w:rPr>
        <w:t xml:space="preserve"> they paid or canceled.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Subscriber Views successfully bridges these distinct telemetry streams. Utilizing advanced artificial intelligence, machine learning, and identity-resolution substrates (such as LiveRamp or The Trade Desk's UID2), the product anonymously stitches licensed ACR viewership data directly against Antenna’s proprietary transaction panel. This permits media programmers to explicitly link the viewing of a specific title to a downstream financial event occurring up to 30 days later, moving beyond mere audience reach metrics to consider what a consumer did before and after tuning into a program.</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Through deterministic matching, Subscriber Views categorizes programming into distinct attribution funnels. For acquisition, it identifies the specific television series or film that triggered a credit card sign-up. For example, empirical deductions utilizing this product estimated that the series </w:t>
      </w:r>
      <w:r w:rsidDel="00000000" w:rsidR="00000000" w:rsidRPr="00000000">
        <w:rPr>
          <w:i w:val="1"/>
          <w:iCs w:val="1"/>
          <w:rtl w:val="0"/>
        </w:rPr>
        <w:t xml:space="preserve">Stick</w:t>
      </w:r>
      <w:r w:rsidDel="00000000" w:rsidR="00000000" w:rsidRPr="00000000">
        <w:rPr>
          <w:rtl w:val="0"/>
        </w:rPr>
        <w:t xml:space="preserve"> drove 33% of all new Apple TV+ premium sign-ups in June 2025, translating to nearly 700,000 new subscribers. For retention, it identifies the specific content that generates loyalty and prevents churn. Antenna data demonstrated that Apple TV+ subscribers who engaged with the series </w:t>
      </w:r>
      <w:r w:rsidDel="00000000" w:rsidR="00000000" w:rsidRPr="00000000">
        <w:rPr>
          <w:i w:val="1"/>
          <w:iCs w:val="1"/>
          <w:rtl w:val="0"/>
        </w:rPr>
        <w:t xml:space="preserve">The Buccaneers</w:t>
      </w:r>
      <w:r w:rsidDel="00000000" w:rsidR="00000000" w:rsidRPr="00000000">
        <w:rPr>
          <w:rtl w:val="0"/>
        </w:rPr>
        <w:t xml:space="preserve"> in June 2025 exhibited a 98% retention rate by late July, heavily outperforming the platform's baseline retention benchmark of 92%.</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Pricing, Adopters, and Competitive Moats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Regarding the specific enterprise cost of the Subscriber Views product and its named public adopters, this intelligence remains tightly guarded as proprietary corporate data, and explicit pricing tiers are not publicly disclosed within the primary market intelligence parameters. However, the product is actively marketed to streaming service operators, show buyers, and show sellers who require competitive intelligence to understand viewer behavior on competing platforms, optimizing programming investments, release schedules, and bundling options.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Crucially, Subscriber Views faces virtually no direct competition from similar fused products at YipitData or Consumer Edge. While those multi-sector behemoths possess superior aggregate transaction volume, their underlying data schemas remain largely unoptimized for title-level ACR media fusion. Antenna’s absolute specialization in the streaming vertical, combined with the heavy identity-resolution engineering required to match television glass-data to credit card panels, provides a profound competitive moat that horizontal data brokers have yet to bridge.</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Quantitative Intelligence: M Science and Bloomberg Second Measure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Wallet layer is rounded out by highly specialized quantitative suppliers that cater directly to algorithmic trading desks rather than corporate strategy teams.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 Science operates as a quant-focused subsidiary of the publicly traded Jefferies Financial Group (NYSE: JEF), prioritizing the delivery of raw, algorithmic transaction feeds engineered directly for hedge fund ingestion. M Science is heavily supported by the robust balance sheet of its parent company; in the second quarter of fiscal 2026, Jefferies reported revenue of approximately $2.21 billion (up 35% year-over-year) and a staggering 157% increase in net income to $226.2 million, driven by its strongest investment banking quarter on record.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Leveraging this financial backing, M Science has rapidly modernized its delivery architecture to survive the shift toward artificial intelligence. Recognizing that hedge funds are increasingly utilizing autonomous systems, M Science launched a Unified Data Model alongside an advanced Model Context Protocol (MCP) Server. This infrastructure is explicitly designed to support automated, data-first AI workflows, allowing autonomous agentic systems (such as customized ChatGPT or Anthropic's Claude instances) to programmatically query, retrieve, and synthesize M Science’s analyst-curated datasets in real-time without human intervention. By transforming its transaction intelligence from a passive dataset into a dynamic, API-callable knowledge graph, M Science ensures its relevance in a market dominated by algorithmic decision-making.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Similarly, Bloomberg Second Measure occupies a broad multi-sector positioning, leveraging massive aggregate receipt panels. Following its acquisition and integration into the broader Bloomberg ecosystem, its proprietary transaction data analytics feeds have been made seamlessly available via the Bloomberg Data License. This allows institutional quants to overlay alternative transaction data directly atop traditional fundamental enterprise content within their existing terminal infrastructure, generating insights such as Walmart.com's 2025 Deals event growing 24% year-over-year.</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1: Structural Positioning and Key Offerings of Wallet Layer Vendors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Vendor</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Strategic Focus</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Institutional Backers / Parent Entity</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Differentiating Product Architecture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YipitData</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Horizontal Multi-Sector Spend</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Carlyle Group, Norwest Venture Partners</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Massive aggregate multi-sector transaction panel scale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Consumer Edge</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Spend &amp; Healthcare Data</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Treville Capital Group</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Integration of transaction feeds with Phoenix/Leo pharmacy claims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Antenna</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Subscription Economy (SVOD)</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BDMI, Raine Ventures, Foundry Group</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"Subscriber Views" fusing ACR glass-data with SVOD transactions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 Science</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Quant/Algorithmic Feeds</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Jefferies Financial Group (NYSE: JEF)</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MCP Server for programmatic AI-agent data ingestion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Bloomberg Second Measure</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Aggregate Receipt Panels</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Bloomberg L.P.</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Native integration via the Bloomberg Data License</w:t>
            </w:r>
          </w:p>
        </w:tc>
      </w:tr>
    </w:tbl>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End of Screen-Scraping: API Tolling and Margin Compression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economic foundation of the Wallet layer relies entirely on continuous, uninterrupted access to consumer banking and credit card data. Historically, this data was acquired at near-zero marginal costs through third-party data aggregators (such as Plaid, Yodlee, and MX) utilizing unauthorized screen-scraping techniques. However, as of mid-2026, this historical paradigm has completely collapsed. Independent of federal rulemaking, tier-1 financial institutions are systematically transitioning away from legacy scraping in favor of highly controlled, tokenized developer APIs. This transition has granted banks absolute unilateral authority over data granularity, frequency, and most critically, pricing.</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CFPB Section 1033 Vacuum</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commercialization of bank data access was initially meant to be strictly regulated by the Consumer Financial Protection Bureau (CFPB). In October 2024, the CFPB finalized the Personal Financial Data Rights rule under Section 1033, which mandated that banks must provide consumers and their authorized third parties with open access to financial data, ostensibly preventing banks from erecting arbitrary data tolls. Compliance was originally scheduled to phase in beginning April 1, 2026.</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this critical regulatory safeguard was effectively neutralized by the federal judiciary. In late October 2025, Judge Danny Reeves of the Eastern District of Kentucky issued a federal injunction blocking the CFPB from enforcing the rule. The court determined that the CFPB likely exceeded its statutory authority by interpreting Section 1033 to allow commercial data sharing with third-party data brokers rather than just consumers and fiduciaries, ruling the compliance deadlines "arbitrary and capricious". With the CFPB moving to rescind and rewrite the rule under an Advance Notice of Proposed Rulemaking in August 2025, the April 2026 enforcement trigger passed without becoming binding. This regulatory vacuum provided tier-1 banks with the ultimate legal cover to aggressively monetize their API endpoints.</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JPMorgan and Plaid Precedent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tipping point for systemic API margin compression occurred in September 2025, when JPMorgan Chase and Plaid signed a landmark, renewed data-access agreement. Under the terms of this custom agreement, Plaid agreed to pay JPMorgan for access to consumer account data—a service that the bank had historically transmitted without cost.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JPMorgan justified the imposition of fees based on sheer infrastructure load. The bank disclosed that in June 2025 alone, it received 1.89 billion data requests from aggregators. Crucially, only about 13% of these requests were tied to an immediate, customer-initiated action (such as logging into an app); the remaining 87% were automated, background recurring pulls utilized to update analytic dashboards and transaction panels. While the precise contracted pricing remains strictly undisclosed—described by industry sources as "fractions of a cent per data pull"—the aggregate mathematics are staggering. Pre-deal financial estimates published by Forbes suggested that under proposed pricing models, Plaid could face up to $300 million in new annual fees. The steepest fees are reportedly levied specifically on payments-related data transfers, striking at the very heart of the Wallet layer's core utility.</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Systemic Spread and Downstream Client Pricing</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inquiry regarding this paradigm shift is whether the per-pull API access fee model has spread beyond JPMorgan to other tier-1 institutions such as Bank of America, Wells Fargo, and Citi. While current market disclosures do not explicitly confirm that these specific institutions have finalized identical paid contracts with aggregators as of mid-2026, the precedent set by the largest U.S. bank creates an inevitable gravitational pull. Industry consensus indicates that if regulatory uncertainty persists and the CFPB fails to draw a clear line prohibiting such fees, "data tolls" will become the de facto standard globally, inevitably spreading across the tier-1 banking syndicate.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second-order economic ramifications of these data tolls are severe. In the immediate aftermath of the agreement, Plaid indicated it would attempt to absorb these costs without passing them on to its roughly 7,000 clients, stating the agreement would not affect current customer pricing. However, the macroeconomic reality dictates that infinite cost absorption is impossible. Fintech trade groups, including the Financial Technology Association (FTA) and the American Fintech Council (AFC), have fiercely criticized the fees, warning that exploiting regulatory uncertainty to impose tolls will inevitably harm competition.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Wallet layer vendors like YipitData, Consumer Edge, and Antenna, there is currently no public commentary detailing immediate price hikes to their end-clients stemming directly from this API toll. However, the business model of transaction intelligence relies on high-frequency, daily data ingestion to maintain the real-time fidelity of cohort survival curves. The introduction of per-pull variable costs forces a structural degradation of the product. To preserve gross margins without raising client prices, vendors are incentivized to aggressively throttle their API polling frequencies, shifting from daily pulls to weekly or bi-weekly pulls. This inherently reduces the temporal resolution of the data, severely hampering an institutional analyst's ability to precisely time-lag a specific content release against a rapid surge in credit card subscriptions. Ultimately, this transforms data collection from a fixed-cost infrastructure play into a punitive variable-cost toll, fundamentally altering unit economics across the entire alternative data supply chain.</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State-Level Regulatory Chokepoints: California DROP Compliance Reality</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the federal pressures of CFPB Section 1033 have temporarily receded, the Wallet layer faces an immediate, existential operational hurdle at the state level: California's Delete Act, formally codified as SB 362. Unlike federal banking regulations, which govern how financial data is acquired, the California Delete Act dictates how that data must be systematically destroyed.</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Mechanics and Penalties of SB 362</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Signed into law in October 2023, the Delete Act represents the most aggressive and comprehensive data broker regulatory regime in the United States. The legislation mandates that any entity qualifying as a "data broker"—statutorily defined as a business that knowingly collects and sells the personal information of a consumer with whom it does not have a direct relationship—must register annually with the California Privacy Protection Agency (CalPrivacy) by January 31, paying a $6,000 baseline fee plus third-party processing costs.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cornerstone of the legislation is the Delete Request and Opt-Out Platform (DROP), a centralized public portal that officially launched on January 1, 2026. DROP allows any California resident to submit a single, universal deletion request that applies simultaneously to every registered data broker in the state. By mid-2026, the registry tracked over 600 active data brokers and had processed requests from hundreds of thousands of consumers.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Wallet layer vendors, the critical compliance trigger occurs on August 1, 2026. Beginning on this date, registered data brokers are legally mandated to access the DROP platform at least once every 45 days, retrieve all matching consumer records, and permanently process verified deletion requests within a strict 45-day window. Crucially, the mandate enforces a perpetual suppression cycle; once a consumer opts out, the broker must continuously delete any newly acquired data associated with that individual on the same 45-day cycle, alongside directing all downstream service providers and contractors to execute identical data purges.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financial penalties for non-compliance are deliberately ruinous. A failure to process a deletion request carries an administrative fine of $200 per request, per day. Because these fines compound daily, an operational failure by a Wallet layer vendor to process a modest backlog of 50,000 consumer requests within the 45-day window translates to an accrued penalty exposure of $10 million for every single day the deletion is delayed. Furthermore, failing to check the DROP portal within the mandated 45-day interval constitutes an independent, standalone violation.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Table 2: California Delete Act (DROP) Critical Implementation Timeline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Regulatory Milestone / Operational Requirement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October 2023</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 362 (Delete Act) formally signed into law by California Governor.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January 31, 2026</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Deadline for annual data broker registration ($6,000 fee).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January 1, 2026</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DROP centralized portal launches; consumer request ingestion begins.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August 1, 2026</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Hard Operational Deadline:</w:t>
            </w:r>
            <w:r w:rsidDel="00000000" w:rsidR="00000000" w:rsidRPr="00000000">
              <w:rPr>
                <w:rtl w:val="0"/>
              </w:rPr>
              <w:t xml:space="preserve"> Brokers must begin ongoing 45-day DROP query cycles.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January 1, 2028</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Mandatory independent third-party compliance audits commence.</w:t>
            </w:r>
          </w:p>
        </w:tc>
      </w:tr>
    </w:tbl>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Attrition and Enforcement Reality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Regarding active enforcement, a critical temporal distinction must be made. Given the current date of this analysis (July 6, 2026), the August 1, 2026 compliance deadline remains imminent but has not yet passed. Consequently, no Wallet layer vendor has yet been publicly named in a DROP enforcement action, levied a fine, or cited for a public compliance failure. The statutory window for the initial 45-day query cycles and subsequent regulatory audits simply has not yet triggered.</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realistic operational costs of maintaining compliance are staggering. The financial burden extends far beyond the nominal $6,000 annual registration fee. Organizations operating as data brokers face a continuous, high-frequency engineering obligation. For data science teams at firms like YipitData and Consumer Edge, executing perpetual 45-day deletion cycles requires massive ongoing operational expenditures (OpEx) to build, test, and maintain automated DROP processing workflows and ongoing suppression mechanisms.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DROP represents a fundamental threat to the statistical integrity of the Wallet layer. Transaction panels derive their enterprise value from historical continuity. When a California consumer submits a deletion request, the data broker is forced to scrub that user's historical transaction footprint entirely. If thousands of high-spending consumers systematically vanish from historical 2024 and 2025 transactional panels due to a DROP request filed in August 2026, the baseline denominators used to calculate historical churn rates, plan-mix migrations, and bundle retention mechanics are artificially skewed. This introduces a severe survivorship bias into alternative data streams, forcing vendors to expend massive engineering resources to continuously re-weight their remaining data panels to mirror macro-population demographics. Ultimately, DROP transforms data retention from a passive storage exercise into a highly volatile, active liability.</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Strategic Evolution: Zero-Party Architectures and AI-Native Disruption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architectural foundations of the Wallet layer are currently facing structural threats that extend beyond bank API fees and state-level privacy mandates. The very concept of relying on third-party aggregators and data brokers is being challenged by the advent of foundational artificial intelligence and the strategic pivot toward consensual, zero-party data acquisition.</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Shift Toward Zero-Party and Incentivized Panels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immunize themselves against the compounding vulnerabilities of DROP compliance and tier-1 bank data throttling, highly capitalized alternative data vendors are initiating a structural pivot toward "first-party incentivized panels". In a legacy transaction panel, data is harvested indirectly through bank aggregators or hidden terms of service in budgeting applications, cleanly fitting the statutory definition of a third-party data broker under California's SB 362.</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Conversely, a zero-party incentivized architecture bypasses the data broker classification entirely. Under this model, vendors establish a direct, transparent commercial relationship with the consumer. Users are explicitly compensated—via direct cash transfers, gift cards, or premium software access—in exchange for voluntarily installing transaction-tracking profiles on their personal devices. Because the consumer provides explicit, continuous, and compensated consent directly to the data entity, the vendor effectively nullifies its exposure to DROP (as it now possesses a direct, first-party relationship) and preempts liabilities under federal statutes such as the Video Privacy Protection Act (VPPA).</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the customer acquisition cost (CAC) for building these panels is exceptionally high, the resulting data stream is immune to bank API tolls, cannot be arbitrarily throttled by third-party aggregators, and offers supreme demographic fidelity. While the broader industry is migrating toward this architecture to survive, the available intelligence does not indicate the emergence of a specific, brand-new corporate entrant exclusively utilizing this framework that has disrupted the incumbent hierarchy since mid-2026; rather, the existing incumbents are actively retrofitting their collection methods to adapt. Similarly, regarding market exits, the primary contractions remain the historical acquisitions of 1010data (by YipitData) and Earnest Analytics (by Consumer Edge), with no major Wallet layer player abruptly shutting down operations during the mid-2026 window.</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AI-Native Disruption and Near-Zero Marginal Costs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profound existential threat to the legacy Wallet layer emanates from the rapid advancement of foundational artificial intelligence models. Historically, parsing unstructured digital receipts, complex invoices, and fragmented bank feeds required thousands of hours of data engineering, natural language processing scripts, and expensive entity-resolution software—forming the primary technical moat for multi-sector firms like YipitData and Consumer Edge.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As of 2026, large language models (LLMs) operated by technology conglomerates have virtually eradicated this barrier to entry. Foundation model operators possessing direct consumer ecosystem access—such as Google (via Gemini's deep integration with Gmail retail receipts and Google Pay transaction histories) or OpenAI (deploying agentic shopping frameworks that autonomously parse checkout flows via merchant risk adapters)—possess the latent technical capability to approximate high-fidelity transaction panels at near-zero marginal cost. Because these technology conglomerates process consumer transaction data as a native byproduct of their core application features, they do not require expensive third-party aggregators like Plaid, effectively undercutting the massive operating expenses burdened by legacy data brokers. This dynamic suggests that the ultimate disruptors of the Wallet layer may not be competing alternative data firms, but rather the foundation model providers themselves.</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Concluding Strategic Outlook</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Wallet layer of the streaming alternative-data ecosystem has matured from a fragmented collection of unauthorized screen-scraping start-ups into a heavily institutionalized, capital-intensive infrastructure component. As of mid-2026, the sector is defined by a deep structural bifurcation. On one side are the horizontal multi-sector behemoths—YipitData and Consumer Edge—who have utilized private equity backing from entities like Carlyle and Treville Capital to aggregate massive transactional volume, absorb competitors like 1010data and Earnest Analytics, and push toward multi-billion dollar public market exits or global data conglomerate status. On the other side are specialized entities like Antenna, which eschew horizontal scale in favor of high-fidelity, deterministic attribution models that seamlessly fuse behavioral ACR viewership with financial outcomes.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operating environment for all players has permanently hardened. The era of frictionless, zero-cost data aggregation is definitively over. The establishment of paid API tolls by tier-1 financial institutions like JPMorgan Chase, exacerbated by the stalling of federal protective mandates under CFPB Section 1033, guarantees long-term margin compression across the entire data supply chain. Concurrently, the relentless operational cadence demanded by California's DROP platform ensures that maintaining historical data integrity will require unprecedented engineering expenditures, effectively destroying the viability of thinly capitalized, mid-market data brokers.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Ultimately, survival in the next phase of the alternative data ecosystem will be dictated not by raw data volume, but by architectural resilience. Vendors that successfully transition toward consensual, zero-party incentivized panels to bypass state-level privacy mandates, engineer proprietary cross-layer fusions like Subscriber Views to build technical moats, and seamlessly integrate their intelligence feeds into the programmatic workflows of advanced AI systems (as demonstrated by M Science) will secure their position as the ultimate arbiters of ground-truth measurement in an increasingly opaque digital economy.</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Who Owns YipitData Company? – businessmodelcanvastemplate.com, https://businessmodelcanvastemplate.com/blogs/owners/yipitdata-who-owns 2. YipitData 2026 Company Profile: Valuation, Funding &amp; Investors | PitchBook, https://pitchbook.com/profiles/company/13431-79 3. Invest In YipitData Stock | Buy Pre-IPO Shares - EquityZen, https://equityzen.com/company/yipitdata/ 4. Partnering for Growth: How YipitData Became the Alternative Data Leader - Norwest, https://www.norwest.com/?case_studies=partnering-for-growth-how-yipitdata-became-the-alternative-data-leader 5. Carlyle (NASDAQ: CG) outlines 2026 proxy agenda and 2028 growth targets, https://www.stocktitan.net/sec-filings/CG/def-14a-carlyle-group-inc-definitive-proxy-statement-5efaa5c48ebe.html 6. Carlyle (NASDAQ: CG) posts Q1 2026 GAAP loss, DE $327M and keeps dividend, https://www.stocktitan.net/sec-filings/CG/8-k-carlyle-group-inc-reports-material-event-f272f60d3522.html 7. YipitData Company Growth, Stability &amp; Outlook 2026 | Built In, https://builtin.com/company/yipitdata/faq/stability-growth 8. YipitData Stock | Hiive Price $42.61 | Invest or Sell, https://www.hiive.com/securities/yipitdata-stock 9. Edge Analytics Market Size, Report, Share &amp; Competitive Landscape 2031, https://www.mordorintelligence.com/industry-reports/edge-analytics-market 10. Consumer Edge To Buy Transaction And Healthcare Data Company Earnest Analytics, https://pulse2.com/consumer-edge-to-buy-transaction-and-healthcare-data-company-earnest-analytics/ 11. Earnest Analytics Phoenix Pharmacy Claims Data, https://www.earnestanalytics.com/datasets/phoenix-pharmacy-claims 12. Consumer Edge Career Growth &amp; Development 2026 | Built In, https://builtin.com/company/consumer-edge/faq/career-growth-development 13. Neudata research | Earnest Analytics, https://webflow2.neudata.co/1/vendors/earnest-analytics 14. Introducing Subscriber Views - Antenna, https://www.antenna.live/insights/introducing-subscriber-views 15. Subscriber Views - Antenna, https://www.antenna.live/solutions/subscriber-views 16. Inside the Stream: Antenna's Subscriber Views Exposes Programming's True Value, https://www.videonuze.com/article/inside-the-stream-antenna-s-subscriber-views-exposes-programming-s-true-value 17. M Science | Data‑Driven Research &amp; Alternative Data Insights, https://mscience.com/ 18. Jefferies Financial Group (NYSE:JEF) Stock Forecast &amp; Analyst Predictions - Simply Wall St, https://simplywall.st/stocks/us/diversified-financials/nyse-jef/jefferies-financial-group/future 19. Bloomberg Makes Proprietary Alternative Data Available Alongside Traditional Enterprise Content | Press, https://www.bloomberg.com/company/press/bloomberg-makes-proprietary-alternative-data-available-alongside-traditional-enterprise-content/ 20. Permanent Deal Season Is Changing What Customers Care About, https://theacsi.com/news-and-resources/blog/2026/06/30/permanent-deal-season-is-changing-what-customers-care-about/ 21. JPMorgan Chase Data Fees: SME Impact Explained - Fiskl Blog, https://fiskl.com/blog/open-finance/jpmorgan-chase-data-fees-plaid/ 22. Open Banking Data Access Fees: JPMorgan, Plaid &amp; the CFPB Fee Question, https://www.openbankingtracker.com/guides/open-banking-data-access-fees 23. Plaid to pay for JPMorgan data - Payments Dive, https://www.paymentsdive.com/news/plaid-to-pay-for-jpmorgan-data-open-banking-fintechs/760192/ 24. Delete Act - DataGrail, https://www.datagrail.io/glossary/what-are-the-delete-act-and-drop/ 25. Data Broker Registration Explained (2026): How to Register Under U.S. Privacy Laws, https://secureprivacy.ai/blog/data-broker-registration 26. Don't DROP the Ball on Upcoming Changes to the California Delete Act: 5 Key Steps Companies Should Take Before the August 1 Effective Date | Fenwick, https://www.fenwick.com/insights/publication/dont-drop-ball-upcoming-changes-california-delete-act-five-key-steps-companies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