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sz w:val="36"/>
          <w:szCs w:val="36"/>
        </w:rPr>
      </w:pPr>
      <w:r w:rsidDel="00000000" w:rsidR="00000000" w:rsidRPr="00000000">
        <w:rPr>
          <w:sz w:val="36"/>
          <w:szCs w:val="36"/>
          <w:rtl w:val="0"/>
        </w:rPr>
        <w:t xml:space="preserve">Demand &amp; Valuation Layer Deep Dive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Alternative data platforms in the demand and valuation layer of the streaming media ecosystem scrape screen-level consumption signals, social media activity, search engine query velocity, peer-to-peer piracy downloads, and wiki engagement to construct synthetic audience demand indices. These indices allow independent production companies, talent agencies, and financial institutions to reverse-engineer platform economics and estimate the monetization potential of intellectual property (IP). As global subscription video-on-demand (SVOD) networks increasingly withhold precise viewership, engagement, and subscriber metrics, these demand indices serve as the primary quantitative baseline for carriage licensing, contract renewals, and catalog asset valuation.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Landscape Consolidation and M&amp;A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streaming media data analytics sector has transitioned toward consolidation, driven by institutional private equity capital and the strategic necessity of combining micro-level viewing telemetry with macro-level forecasting models. This integration addresses the limitations of fragmented, single-channel datasets, replacing them with unified, multi-market enterprise intelligence tools.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Goldenpeak and Ampere-PlumResearch Transaction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May 21, 2026, UK-based private equity firm Goldenpeak announced a majority investment in Ampere Analysis, marking the media research company's first institutional backing since its founding in 2015. Goldenpeak, led by Mark Williams, deployed the acquisition capital from its second fund, which launched in 2025. The transaction was structured under Alternative Investment Market (AIM) Rule 15 as a fundamental change of business for the seller, requiring formal shareholder approval. Following a General Meeting on June 8, 2026, where shareholders representing approximately 44.3% of the issued share capital committed their support, the transaction officially closed on June 10,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on May 26, 2026, Ampere Analysis announced the acquisition of Warsaw-based streaming audience analytics firm PlumResearch for an undisclosed fee, backed by Goldenpeak’s newly injected institutional capital. Founded in 2015, PlumResearch had previously scaled its operations across 75 international markets with early-stage backing from Polish venture capital funds, including Montis Capital, PFR Ventures, and its primary first investor, Tar Heel Capital Pathfinder.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acquisition, Plum's 20-person core technical team (representing 42 total employees) was integrated into Ampere Analysis's broader corporate structure, ending Plum’s independent run as a boutique telemetry provider. Under the combined entity, the organizational leadership of both firms was maintained to preserve operational continuity: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Richard Broughton</w:t>
      </w:r>
      <w:r w:rsidDel="00000000" w:rsidR="00000000" w:rsidRPr="00000000">
        <w:rPr>
          <w:rtl w:val="0"/>
        </w:rPr>
        <w:t xml:space="preserve"> continues as Executive Director of Ampere Analysis.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Dan Stevenson</w:t>
      </w:r>
      <w:r w:rsidDel="00000000" w:rsidR="00000000" w:rsidRPr="00000000">
        <w:rPr>
          <w:rtl w:val="0"/>
        </w:rPr>
        <w:t xml:space="preserve"> continues as Managing Director of Ampere Analysis.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Lukasz Jeziorski</w:t>
      </w:r>
      <w:r w:rsidDel="00000000" w:rsidR="00000000" w:rsidRPr="00000000">
        <w:rPr>
          <w:rtl w:val="0"/>
        </w:rPr>
        <w:t xml:space="preserve">, Founder and Chief Executive Officer of PlumResearch, remains in his executive role.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Jonathan Broughton</w:t>
      </w:r>
      <w:r w:rsidDel="00000000" w:rsidR="00000000" w:rsidRPr="00000000">
        <w:rPr>
          <w:rtl w:val="0"/>
        </w:rPr>
        <w:t xml:space="preserve"> remains in his role as Research Director of PlumResearch.</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Showlabs Commercial Delivery and Regional Status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 integration of the combined Ampere-PlumResearch entity focuses on the deployment of Plum's proprietary </w:t>
      </w:r>
      <w:r w:rsidDel="00000000" w:rsidR="00000000" w:rsidRPr="00000000">
        <w:rPr>
          <w:b w:val="1"/>
          <w:bCs w:val="1"/>
          <w:rtl w:val="0"/>
        </w:rPr>
        <w:t xml:space="preserve">Showlabs</w:t>
      </w:r>
      <w:r w:rsidDel="00000000" w:rsidR="00000000" w:rsidRPr="00000000">
        <w:rPr>
          <w:rtl w:val="0"/>
        </w:rPr>
        <w:t xml:space="preserve"> platform. Rather than being entirely absorbed and rebranded under Ampere's core databases, Showlabs is maintained as an active, distinct product line operated by "PlumResearch, an Ampere Analysis company".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June 16, 2026, NIQ (NielsenIQ, powered by GfK intelligence) announced the commercial launch of Showlabs in Japan. Developed by PlumResearch S.A., this platform delivers cross-platform analysis of viewing trends across Netflix, Prime Video, Disney+, and Crunchyroll, utilizing anonymized viewing log data modeled against local demographics and platform-share dynamics.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to Goldenpeak and Ampere ownership has shifted the client-facing pricing and positioning of the Showlabs platform. To prevent geographic data fragmentation and capture enterprise-scale license fees, Showlabs is no longer sold under single-market or standalone country-specific configurations. Instead, commercial data usage contracts are structured as bundled regional subscriptions that integrate viewing telemetry from all four supported streaming platforms across seven core international markets: Japan, the United States, France, Brazil, South Korea, Taiwan, and India.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bundled positioning aligns with the broader strategic mandate of the acquisition: merging Plum's real-world viewing logs with Ampere's market sizing, consumer behavior modeling, and title-level licensing forecasts to construct "connected, end-to-end audience intelligence" across the content production and media rights value chains.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Parameter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 Platform Detail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 Commercial Outcome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Goldenpeak Majority Stake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June 10, 2026; deployed from Fund II (2025)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Ampere with institutional capital to fund acquisitions and product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PlumResearch M&amp;A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May 26, 2026; backed by Tar Heel Capital Pathfinder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Integrates Warsaw-based streaming log telemetry with London-based macro-forecasting.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Showlabs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Maintained as an active, distinct product line of PlumResearch S.A.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Functions as the core telemetry engine measuring platform-specific viewing logs.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NIQ GfK Japan Partnership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Launched June 16, 2026; covers Netflix, Prime Video, Disney+, Crunchyroll</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Expands consumer intelligence services in Japan through localized demographic modeling.</w:t>
            </w:r>
          </w:p>
        </w:tc>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Commercial Positioning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Shifted to bundled offerings across 4 streaming services and 7 global markets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single-country data contracts with comprehensive, multi-territory licenses.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Combined Market Position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Blends viewing logs with market sizing, consumer surveys, and rights modeling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 the entire value chain of content production, distribution, and media rights.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Contemporary Content Valuation and Streaming Economics Case Studies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historical media valuation literature relied on NBCUniversal’s licensing of </w:t>
      </w:r>
      <w:r w:rsidDel="00000000" w:rsidR="00000000" w:rsidRPr="00000000">
        <w:rPr>
          <w:i w:val="1"/>
          <w:iCs w:val="1"/>
          <w:rtl w:val="0"/>
        </w:rPr>
        <w:t xml:space="preserve">Suits</w:t>
      </w:r>
      <w:r w:rsidDel="00000000" w:rsidR="00000000" w:rsidRPr="00000000">
        <w:rPr>
          <w:rtl w:val="0"/>
        </w:rPr>
        <w:t xml:space="preserve"> to Netflix—which measured $356 million in U.S. and Canada (UCAN) subscriber revenue between Q1 2020 and Q4 2024 and over $800 million globally since 2020—contemporary content economics are defined by more complex, cross-platform, and non-English licensing arrangements. Parrot Analytics has leveraged its Content Valuation and Streaming Economics models to evaluate contemporary multi-million-dollar distribution agreements and regional economic footprints.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Global Reality Competition Integration Model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case study finalized on March 30, 2025, and subsequently highlighted in a July 17, 2025 global entertainment report, the producers of a major unscripted reality competition series utilized Parrot Analytics' demand-expression data to restructure their production and casting budgets. By using talent synergy modeling to analyze the regional demand footprint of various international contestants, the production company demonstrated that integrating specific high-profile global stars would drive a projected 144% increase in global audience demand for the upcoming season.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long-term scenario modeling, the producers projected that the optimized cast would generate more than $120 million in streaming revenue per season once the brand reached peak global attention. This quantitative projection successfully convinced the partner streaming platform to greenlight a larger production budget and approve higher executive producer fees, validating the shift from speculative content packaging to structured, demand-driven underwriting.</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Independent Film Packaging and Windows Optimization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independent film packaging case study published on April 15, 2025, Parrot Analytics evaluated how casting mixtures, production budget levels, and distribution pathways collectively impact long-term returns. The production company modeled multiple "what-if" casting scenarios, evaluating the domestic opening weekend box office and 20-year streaming revenue projections of anchoring the film with multiple high-profile actors, a single lead star, or relying entirely on the script’s original concept without celebrity draw.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simulation also assessed the economic tradeoffs of a limited theatrical-to-SVOD windowing strategy versus an exclusive streaming-only debut. By presenting these platform-specific revenue projections directly to acquisitions executives, the independent producers secured a premium licensing deal with a major streaming network, de-risking the project prior to principal photography.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Platform-Specific Title Valuations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study published on June 29, 2025, Parrot Analytics evaluated the streaming economics of HBO’s historical drama </w:t>
      </w:r>
      <w:r w:rsidDel="00000000" w:rsidR="00000000" w:rsidRPr="00000000">
        <w:rPr>
          <w:i w:val="1"/>
          <w:iCs w:val="1"/>
          <w:rtl w:val="0"/>
        </w:rPr>
        <w:t xml:space="preserve">The Gilded Age</w:t>
      </w:r>
      <w:r w:rsidDel="00000000" w:rsidR="00000000" w:rsidRPr="00000000">
        <w:rPr>
          <w:rtl w:val="0"/>
        </w:rPr>
        <w:t xml:space="preserve">. Utilizing a content valuation system that maps catalog-demand signals directly to subscriber acquisition, engagement, and retention patterns, the model estimated that the series had delivered just over $70 million in global streaming revenue for Max as of Q1 2025. This baseline was utilized by platform executives to benchmark the series' financial contribution against its predecessor, </w:t>
      </w:r>
      <w:r w:rsidDel="00000000" w:rsidR="00000000" w:rsidRPr="00000000">
        <w:rPr>
          <w:i w:val="1"/>
          <w:iCs w:val="1"/>
          <w:rtl w:val="0"/>
        </w:rPr>
        <w:t xml:space="preserve">Downton Abbey</w:t>
      </w:r>
      <w:r w:rsidDel="00000000" w:rsidR="00000000" w:rsidRPr="00000000">
        <w:rPr>
          <w:rtl w:val="0"/>
        </w:rPr>
        <w:t xml:space="preserve">, to determine whether Julian Fellowes' brand equity was sufficiently robust to justify the high-cost production footprint of subsequent seasons.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Transmedia and Regional Content Valuations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broader application of Streaming Economics models has also revealed the monetary value of localized and non-English content ecosystems: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Spanish-Language Content Ecosystem (June 2026):</w:t>
      </w:r>
      <w:r w:rsidDel="00000000" w:rsidR="00000000" w:rsidRPr="00000000">
        <w:rPr>
          <w:rtl w:val="0"/>
        </w:rPr>
        <w:t xml:space="preserve"> Parrot Analytics' valuation data revealed that Spain-originated content generated $5.1 billion in global streaming revenue over the four years preceding 2026, with the Spanish content market expected to deliver $1.4 billion in global revenue in 2024 alone.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Japanese Anime Industry Report (June 24, 2026):</w:t>
      </w:r>
      <w:r w:rsidDel="00000000" w:rsidR="00000000" w:rsidRPr="00000000">
        <w:rPr>
          <w:rtl w:val="0"/>
        </w:rPr>
        <w:t xml:space="preserve"> Joint research conducted with the Association of Japanese Animations (AJA) for the Anime Industry Report 2025 calculated that Japanese anime delivered $21.9 billion in combined global streaming and merchandising revenue in 2024, representing a 12.5% year-over-year expansion. Within this ecosystem, streaming revenue grew 23.4% to reach $6.42 billion, while merchandising generated $15.49 billion. Netflix accounted for 42.6% of the global anime streaming revenue contribution, translating to a $2.7 billion direct economic contribution to Netflix globally in 2024.</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Eternaut (El Eternauta) Economic Impact (January 15, 2026):</w:t>
      </w:r>
      <w:r w:rsidDel="00000000" w:rsidR="00000000" w:rsidRPr="00000000">
        <w:rPr>
          <w:rtl w:val="0"/>
        </w:rPr>
        <w:t xml:space="preserve"> At the 8th Annual Global Demand Awards, Netflix's Argentinian sci-fi epic </w:t>
      </w:r>
      <w:r w:rsidDel="00000000" w:rsidR="00000000" w:rsidRPr="00000000">
        <w:rPr>
          <w:i w:val="1"/>
          <w:iCs w:val="1"/>
          <w:rtl w:val="0"/>
        </w:rPr>
        <w:t xml:space="preserve">The Eternaut</w:t>
      </w:r>
      <w:r w:rsidDel="00000000" w:rsidR="00000000" w:rsidRPr="00000000">
        <w:rPr>
          <w:rtl w:val="0"/>
        </w:rPr>
        <w:t xml:space="preserve"> was recognized as the Most In-Demand Latin American Original of 2025. Beyond direct subscriber acquisition metrics, the study documented that the local production injected an estimated 41 billion Argentine pesos (approximately $34 million USD) into the local Argentine economy, establishing a direct link between streaming demand and physical macroeconomic impact.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 Churn Costs (April 30, 2026):</w:t>
      </w:r>
      <w:r w:rsidDel="00000000" w:rsidR="00000000" w:rsidRPr="00000000">
        <w:rPr>
          <w:rtl w:val="0"/>
        </w:rPr>
        <w:t xml:space="preserve"> Parrot Analytics' Streaming Economics model calculated that major global streaming platforms lost a combined $6.3 billion to subscriber churn in 2025. This metric has driven platforms to aggressively pivot toward live sports (such as Netflix's Christmas Day NFL games) and pair them with continuous, off-season unscripted shoulder content (such as the docuseries </w:t>
      </w:r>
      <w:r w:rsidDel="00000000" w:rsidR="00000000" w:rsidRPr="00000000">
        <w:rPr>
          <w:i w:val="1"/>
          <w:iCs w:val="1"/>
          <w:rtl w:val="0"/>
        </w:rPr>
        <w:t xml:space="preserve">Quarterback</w:t>
      </w:r>
      <w:r w:rsidDel="00000000" w:rsidR="00000000" w:rsidRPr="00000000">
        <w:rPr>
          <w:rtl w:val="0"/>
        </w:rPr>
        <w:t xml:space="preserve">) to build a 365-day retention loop and mitigate multi-billion-dollar retention losses.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 Content Focus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Evaluation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Outcome / Metric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Study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Reality Competition Series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Talent demand synergy and global audience demand scenario modeling</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Projected $120M+ per-season revenue contribution; 144% demand uplift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July 17, 2025</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Gilded Age (Max)</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Catalog-demand mapping to DTC acquisition, retention, and churn models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Delivered $70M+ in cumulative global streaming revenue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29, 2025</w:t>
            </w:r>
          </w:p>
        </w:tc>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Spanish-Language Content</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aggregation of Spanish-originated title demand across major SVODs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Generated $5.1B in global streaming revenue over 4 years; $1.4B in 2024</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25, 2026</w:t>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Japanese Anime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Multi-touch demand metrics integrated with global physical merchandising sales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Generated $21.9B total; $6.42B streaming, $15.49B merch in 2024</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24, 2026</w:t>
            </w:r>
          </w:p>
        </w:tc>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Netflix's Japanese Anime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Platform-specific revenue-impact and demand-share attribution modeling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Contributed $2.7B in global streaming value to Netflix in 2024 (42.6% share)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24, 2026</w:t>
            </w:r>
          </w:p>
        </w:tc>
        <w:tc>
          <w:tcPr>
            <w:shd w:fill="auto" w:val="clea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Eternaut (Netflix)</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Regional macroeconomic input-output multipliers linked to localized title demand</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Injected 41B Argentine pesos (approx. $34M USD) into local economy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January 15, 2026</w:t>
            </w:r>
          </w:p>
        </w:tc>
        <w:tc>
          <w:tcPr>
            <w:shd w:fill="auto" w:val="clear"/>
            <w:tcMar>
              <w:top w:w="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Global Streaming Market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Macro-level retention and platform-by-platform subscriber churn modeling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Calculated $6.3B in cumulative DTC revenue lost to churn in 2025</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April 30, 2026</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Gracenote’s Competitive Posture in the Discovery and Monetization Ecosystem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Historically characterized as a pure entertainment metadata ontology and content ID provider, Nielsen's subsidiary Gracenote has been strategically repositioned to compete in outcomes-based discovery and ad-tech analytics. Rather than directly mimicking Parrot Analytics' social scraping and "cost-per-demand-point" metrics, Gracenote has leveraged its foundational metadata registry to capture the discovery enablement, programmatic ad-targeting, and search optimization markets.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Structural Cost of Ineffective Discovery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Gracenote's competitive thesis is built on the premise that platform engagement, retention, and monetization are directly threatened by fragmented discovery mechanisms. In its </w:t>
      </w:r>
      <w:r w:rsidDel="00000000" w:rsidR="00000000" w:rsidRPr="00000000">
        <w:rPr>
          <w:i w:val="1"/>
          <w:iCs w:val="1"/>
          <w:rtl w:val="0"/>
        </w:rPr>
        <w:t xml:space="preserve">2025 State of Play</w:t>
      </w:r>
      <w:r w:rsidDel="00000000" w:rsidR="00000000" w:rsidRPr="00000000">
        <w:rPr>
          <w:rtl w:val="0"/>
        </w:rPr>
        <w:t xml:space="preserve"> report published on November 5, 2025, Gracenote quantified the structural costs of discovery friction across several global markets :</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 Time Expansion:</w:t>
      </w:r>
      <w:r w:rsidDel="00000000" w:rsidR="00000000" w:rsidRPr="00000000">
        <w:rPr>
          <w:rtl w:val="0"/>
        </w:rPr>
        <w:t xml:space="preserve"> On average, consumers globally spend 14 minutes searching for what to watch. In the United States, search time increased to 12 minutes in late 2025, up from 10.5 minutes in mid-2023. French viewers recorded the highest search friction, spending 26 minutes searching for content—the equivalent of an entire program episode.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Churn and Session Abandonment:</w:t>
      </w:r>
      <w:r w:rsidDel="00000000" w:rsidR="00000000" w:rsidRPr="00000000">
        <w:rPr>
          <w:rtl w:val="0"/>
        </w:rPr>
        <w:t xml:space="preserve"> Approximately 33% of global streaming users (rising to 40% among the 25–34 age demographic) report that content fragmentation negatively impacts their viewing experience. Consequently, 19% of global consumers (and 29% of those aged 18–24) will abandon a viewing session entirely if their initial content search fails. Furthermore, 49% of surveyed streamers expressed a willingness to cancel a subscription service based on recurring difficulties navigating the platform's catalog.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capture the downstream analytics demand driven by these vulnerabilities, Gracenote has evolved its product offerings from static descriptors into dynamic optimization tools.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Discovery Enablement and Ad-Tech Integration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Gracenote has integrated its metadata products directly into active marketing and programming workflows: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Sports Enhancements (December 17, 2025):</w:t>
      </w:r>
      <w:r w:rsidDel="00000000" w:rsidR="00000000" w:rsidRPr="00000000">
        <w:rPr>
          <w:rtl w:val="0"/>
        </w:rPr>
        <w:t xml:space="preserve"> To help streaming networks retain highly volatile sports viewers, Gracenote launched unified sports hubs covering over 160 leagues in 50+ countries. The platform seamlessly links live sports events to related content, scripted or documentary shows (e.g., matching a live NFL broadcast to sports documentaries), and delayed recap shoulder content. This solution directly addresses library monetization, given that streaming sports documentary consumption in the U.S. expanded by 260%, rising from 4.7 million minutes in 2021 to 16.9 million minutes in 2024.</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Audience Segments (February 25, 2026):</w:t>
      </w:r>
      <w:r w:rsidDel="00000000" w:rsidR="00000000" w:rsidRPr="00000000">
        <w:rPr>
          <w:rtl w:val="0"/>
        </w:rPr>
        <w:t xml:space="preserve"> Parent company Nielsen launched over 200 new advanced audience segments within its Nielsen ONE planning and measurement solution. By pairing Scarborough's national consumer dataset with Gracenote's catalog metadata, the integration allows media buyers to purchase addressable advertising based on highly specific consumption habits and lifestyle categories.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PubMatic Programmatic Partnership (Late 2025/2026):</w:t>
      </w:r>
      <w:r w:rsidDel="00000000" w:rsidR="00000000" w:rsidRPr="00000000">
        <w:rPr>
          <w:rtl w:val="0"/>
        </w:rPr>
        <w:t xml:space="preserve"> Gracenote partnered with programmatic ad platform PubMatic to power content-informed Connected TV (CTV) ad-buying. This alignment links Gracenote's content IDs with programmatic bidding engines, allowing brands to target ads against contextually relevant metadata streams rather than relying on blunt demographic targeting.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 Feature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Gracenote (Nielsen)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Parrot Analytics / Ampere Analysis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Dataset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program metadata covering 50M+ titles in 260+ catalogs, across 70+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Multi-touch social expressions, search velocity, peer-to-peer piracy, and panel logs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Metric</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Gracenote ID; Search friction and discovery abandonment rates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Cost-per-demand-point; Title-level revenue contribution modeling</w:t>
            </w:r>
          </w:p>
        </w:tc>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Monetization Focus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CTV ad-targeting, programmatic bidding integration, and EPG search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licensing valuation, theatrical window planning, and talent packaging negotiations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Tracking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conversational search patterns and trust in generative search engines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audience demographic expansion opportunities and catalog price-elasticity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Sports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metadata linking of live games to unscripted shoulder and documentary content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Predicting media rights valuations based on global audience demand correlations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Scale, Ownership, and Pivot Dynamics of Whip Media and Luminate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Whip Media and Luminate occupy distinct, highly specialized operational niches within the alternative data ecosystem, both having undergone corporate restructurings to align their product offerings with the contemporary enterprise demand landscape.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Whip Media and the Helix Enterprise Pivot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Whip Media underwent a financial restructuring on February 19, 2025, when it was acquired by direct lender and transition-specialist private equity firm Blue Torch Capital. This transaction shifted the company away from its historical venture capital backing, under which it had raised a cumulative $115.5 million through a Series D round completed in January 2020. Following the acquisition, Welby Chen was appointed Chief Executive Officer in February 2025, with Richard Rosenblatt serving as Executive Chair. The company subsequently brought on Brian Lakamp to its Board of Directors, Neeraj Sethi as Chief Financial Officer, and Linda Sughrue as Senior Vice President of Customer Growth and Retention in July 2025. As of September 2025, Whip Media generated an estimated annual recurring revenue (ARR) of $11.4 million against a capital valuation of $34.3 million, maintaining a headcount of approximately 104 employees.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Blue Torch Capital's direction, Whip Media executed a strategic pivot away from consumer-facing data services. On July 2, 2026, Whip Media announced that its widely used TV and movie tracking app, TV Time, would officially shut down on July 15, 2026. TV Time had accumulated over 26 million lifetime installs, serving as a primary consumer-facing community for television tracking and sentiment gathering. Whip Media cited the financial unsustainability of the free model and a lack of market demand for a premium paid consumer tier as the primary operational catalysts for the closure. Following the shutdown, the company committed to deleting all collected personal user data, offering a GDPR-compliant export tool for users before the July 15, 2026 cutoff.</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closure allowed Whip Media to reallocate its technical resources entirely to </w:t>
      </w:r>
      <w:r w:rsidDel="00000000" w:rsidR="00000000" w:rsidRPr="00000000">
        <w:rPr>
          <w:b w:val="1"/>
          <w:bCs w:val="1"/>
          <w:rtl w:val="0"/>
        </w:rPr>
        <w:t xml:space="preserve">Helix</w:t>
      </w:r>
      <w:r w:rsidDel="00000000" w:rsidR="00000000" w:rsidRPr="00000000">
        <w:rPr>
          <w:rtl w:val="0"/>
        </w:rPr>
        <w:t xml:space="preserve">, its AI-native enterprise B2B SaaS platform. Helix is positioned as an end-to-end operational tool designed to automate content supply chains, manage digital avails, calculate royalty reporting, and track streaming analytics across AVOD, FAST, SVOD, and TVOD platforms. By eliminating the consumer application, Whip Media has refocused its market posture as an enterprise workflow automation vendor for major distributors and digital platforms, including Cineverse and MPI Media Group.</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Luminate’s Transmedia Registry Scale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 operates as an independent joint venture subsidiary of PME TopCo, which is a joint venture between Penske Media Corporation (PMC) and Eldridge Industries. Led by Chief Executive Officer Rob Jonas, the company serves as the central data registry for physical and digital entertainment consumption. Luminate maintains a massive operational footprint, managing over 23 to 30 trillion data points compiled from 500+ verified global data partners and serving more than 1,400 institutional clients. The company operates with an estimated annual revenue in the range of $100 million to $250 million, employing a staff of 750 to 860 individuals.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Luminate’s core market position spans the music, film, and television sectors: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Music and Transmedia Tracking:</w:t>
      </w:r>
      <w:r w:rsidDel="00000000" w:rsidR="00000000" w:rsidRPr="00000000">
        <w:rPr>
          <w:rtl w:val="0"/>
        </w:rPr>
        <w:t xml:space="preserve"> Luminate has powered the authoritative </w:t>
      </w:r>
      <w:r w:rsidDel="00000000" w:rsidR="00000000" w:rsidRPr="00000000">
        <w:rPr>
          <w:i w:val="1"/>
          <w:iCs w:val="1"/>
          <w:rtl w:val="0"/>
        </w:rPr>
        <w:t xml:space="preserve">Billboard</w:t>
      </w:r>
      <w:r w:rsidDel="00000000" w:rsidR="00000000" w:rsidRPr="00000000">
        <w:rPr>
          <w:rtl w:val="0"/>
        </w:rPr>
        <w:t xml:space="preserve"> music charts for over 30 years. Its data models track daily industry standards, including the delivery of approximately 106,000 unique International Standard Recording Codes (ISRCs) to digital service providers (DSPs) daily in 2025 (representing a 7% year-over-year expansion). Luminate's research focus is heavily indexed on transmedia integration, analyzing how music consumption patterns are driven by film, TV, and gaming synchronization.</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Luminate Film &amp; TV:</w:t>
      </w:r>
      <w:r w:rsidDel="00000000" w:rsidR="00000000" w:rsidRPr="00000000">
        <w:rPr>
          <w:rtl w:val="0"/>
        </w:rPr>
        <w:t xml:space="preserve"> In October 2020, PMC transitioned the historical Variety Insight database into Luminate Film &amp; TV. This platform functions as the definitive production and scheduling registry for the entertainment industry. It powers Variety’s Streaming Originals charts, serves as the verified data source for the Golden Globes, and allows institutional users to monitor projects from development through post-production.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Whip Media (Helix)</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 (PME TopCo)</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Ownership</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 Torch Capital (Acquired Feb 19, 2025)</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Penske Media Corp. &amp; Eldridge Industries Joint Venture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Executive Lead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Welby Chen (CEO, appointed Feb 2025)</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 Jonas (CEO)</w:t>
            </w:r>
          </w:p>
        </w:tc>
        <w:tc>
          <w:tcPr>
            <w:shd w:fill="auto" w:val="clear"/>
            <w:tcMar>
              <w:top w:w="0.0" w:type="dxa"/>
              <w:left w:w="0.0" w:type="dxa"/>
              <w:bottom w:w="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Approximate Scale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~$11.4M ARR; ~104 employees (as of September 2025)</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$100M–$250M revenue; ~750–860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Platform Product</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Helix AI-Native SaaS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Luminate Music Registry; Luminate Film &amp; TV</w:t>
            </w:r>
          </w:p>
        </w:tc>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Tech Status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Shuttering TV Time (July 15, 2026) to focus on B2B AI</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direct consumer app; powers external charts (Billboard)</w:t>
            </w:r>
          </w:p>
        </w:tc>
        <w:tc>
          <w:tcPr>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Under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B2B rights, avails, and royalty transaction logs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23T to 30T data points from 500+ verified partners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Institutional Buyer Base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Streaming platforms, AVOD/FAST networks, distributors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Major/independent music labels, film studios, talent agencies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Negotiation Tactics: Talent Agency Adoption of Alternative Data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flat upfront buyout structures to complex co-exclusive, multi-platform licensing models has prompted major talent agencies—specifically Creative Artists Agency (CAA) and William Morris Endeavor (WME)—to adopt demand-expression telemetry in package planning and compensation arbitrations. Rather than relying on simple viewership metrics, these firms utilize synthetic demand signals to prove a showrunner or actor's historical contribution to a platform's retention and acquisition margins.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Content Valuation in Negotiations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traditional linear television, backend participation was calculated using predictable syndication loops and household ratings. In the streaming era, where platforms rely on cost-plus buyouts to consolidate global rights, agencies use alternative data to negotiate backend value. This quantitative workflow is structured around several distinct analytical levers:</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Churn Retention Multiplier:</w:t>
      </w:r>
      <w:r w:rsidDel="00000000" w:rsidR="00000000" w:rsidRPr="00000000">
        <w:rPr>
          <w:rtl w:val="0"/>
        </w:rPr>
        <w:t xml:space="preserve"> Rather than relying on simple viewership metrics, agencies utilize platforms like Parrot Analytics to evaluate a title's subscriber retention power. For example, data indicating that a drama series like </w:t>
      </w:r>
      <w:r w:rsidDel="00000000" w:rsidR="00000000" w:rsidRPr="00000000">
        <w:rPr>
          <w:i w:val="1"/>
          <w:iCs w:val="1"/>
          <w:rtl w:val="0"/>
        </w:rPr>
        <w:t xml:space="preserve">Grey's Anatomy</w:t>
      </w:r>
      <w:r w:rsidDel="00000000" w:rsidR="00000000" w:rsidRPr="00000000">
        <w:rPr>
          <w:rtl w:val="0"/>
        </w:rPr>
        <w:t xml:space="preserve"> possesses an acquisition share of 7% but a retention share of 93% on a platform like Hulu allows an agency to argue that the title serves as a critical retention shield. By demonstrating that a creator's library directly prevents subscriber churn, the agency can negotiate structured "retention bonuses" in lieu of traditional syndication residuals.</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 Testing and "What-If" Modeling:</w:t>
      </w:r>
      <w:r w:rsidDel="00000000" w:rsidR="00000000" w:rsidRPr="00000000">
        <w:rPr>
          <w:rtl w:val="0"/>
        </w:rPr>
        <w:t xml:space="preserve"> During the packaging stage, agencies apply historical talent-demand synergy modeling to project a project's future return on investment (ROI). As demonstrated in Parrot's "From Script to Stream" analytical framework, agencies run comparative scenarios analyzing how different casting mixes (e.g., matching multiple high-profile actors against a single lead) will perform across specific platforms like Netflix, Prime Video, or Apple TV+. This allows agencies to secure higher upfront production budgets and packaging fees by proving the exact incremental demand value the talent brings to the platform.</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Implied Cost-per-Demand-Point Proxy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quantitative tactic used by agency business intelligence teams is the construction of an "implied cost-per-demand-point" metric. By dividing leaked or reported production budgets for a specific premium original series by its registered global demand-expression index, agencies can evaluate platform pricing efficiency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\text{I[span_181](start_span)[span_181](end_span)mplied Cost per Demand Point} = \frac{\text{Estimated Series Production Budget}}{\text{Global Demand-Expression Footprint}}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resulting figure reveals that a platform is structurally overpaying for third-party acquisitions relative to historical benchmarks, the agency can leverage this inefficiency. Conversely, if a client’s show delivers a highly efficient cost-per-demand-point, the agency uses this data to demand richer backend participation, higher renewal fees, or co-exclusive licensing terms during contract renewals.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analytical workflow was demonstrated in a contemporary unscripted television renewal. An independent comedy series successfully renegotiated a highly lucrative renewal after demand analytics proved its global appeal was substantially undervalued by the distributor's internal metrics. WME's contemporary operational model (FY2025/2026) is built directly around this type of data-driven origination. Rather than accepting flat buyout fees, WME leverages regional demand cycles—such as contrasting U.S. streaming windows against international co-productions—to structure complex agreements that combine upfront fees with scalable backend participation and IP ownership stakes, maximizing client career franchises over long-tail distribution windows.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contemporary agency negotiations remain closely guarded corporate secrets, historical legal precedents illustrate the long-standing role of agency-constructed valuation models in legal arbitrations. In the landmark arbitration </w:t>
      </w:r>
      <w:r w:rsidDel="00000000" w:rsidR="00000000" w:rsidRPr="00000000">
        <w:rPr>
          <w:i w:val="1"/>
          <w:iCs w:val="1"/>
          <w:rtl w:val="0"/>
        </w:rPr>
        <w:t xml:space="preserve">Tommy Lee Jones vs. William Morris Agency</w:t>
      </w:r>
      <w:r w:rsidDel="00000000" w:rsidR="00000000" w:rsidRPr="00000000">
        <w:rPr>
          <w:rtl w:val="0"/>
        </w:rPr>
        <w:t xml:space="preserve"> (DLSE TAC 16396), WME generated and deployed structured financial analyses and demand valuations to support and justify a $15,000,000 backend compensation claim against Paramount.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In analyzing regulatory shifts impacting the legal and financial frameworks of 2026, care must be taken to distinguish between the Consolidated Appropriations Act of 2026 (CAA 2026)—which represents a newly enacted federal statute regulating pharmacy benefit managers (PBMs) and employer fiduciary healthcare disclosure obligations—and Creative Artists Agency (CAA), which remains an active entertainment packaging competitor.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Negotiation Lever</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Data Input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Outcome / Agency Advantage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Churn Retention Multiplier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Title-level acquisition vs. retention demand splits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linear syndication residuals with structured DTC retention bonuses.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Concept Testing</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Demographic demand-expression profiles of prospective talent</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Justifies larger production budgets and higher packaging fees during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Cost-per-Demand-Point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cost-per-demand ratios calculated against competitor benchmarks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Demonstrates platform acquisition efficiency; forces upward adjustments in licensing terms.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Exclusive vs. Co-Exclusive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Long-term revenue projection models contrasting platform exclusivity</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Quantifies the financial risk of library titles departing a platform's exclusive catalog.</w:t>
            </w:r>
          </w:p>
        </w:tc>
        <w:tc>
          <w:tcPr>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Data-Driven Packaging</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talent demand and regional demand cycle metrics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Bundles talent with specific IP to secure co-production and backend equity stakes.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Foundation-Model-Native Demand Signals and Generative Listening Engines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rapid expansion of artificial intelligence has introduced a new paradigm within the Demand/Valuation layer. Traditional demand tracking has historically relied on reactive scrapers that monitor social media chatter, search engine query volume, and page views. However, as consumer discovery behavior transitions toward conversational, large language model (LLM)-mediated search interfaces, developers are building new "generative listening engines" to measure brand and content visibility within AI-native search environments.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Shift to Generative Discovery Telemetry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necessity for AI-native demand metrics is highlighted by rapid changes in consumer behavior. By late 2025, approximately 13% of all digital searches included AI-generated answer summaries, with conversational discovery models expanding rapidly across younger demographics.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April 8, 2026 report, "TV Search and Discovery in the AI Era," Gracenote surveyed 4,003 U.S. chatbot users to evaluate this shift. The study found that 66% of all consumers (and 80% of Gen Alpha) reported increased usage of conversational chatbots to find entertainment recommendations over the preceding 18 months. Furthermore, 57% of respondents stated that chatbots had become or were poised to become their primary mechanism for determining why, where, and when to consume content.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Traditional keyword search volume is highly linear and deterministic. Generative search is probabilistic, meaning content visibility varies dynamically across models, conversational prompts, topics, and dayparts. Consequently, brand managers, film studios, and agencies require stable measurement platforms to track how their IP is cited, evaluated, and recommended within AI search structures.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Emerging AI-Native Measurement Platforms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players have emerged to commercialize these foundation-model-native demand signals:</w:t>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Diesel Labs and PanelAI:</w:t>
      </w:r>
      <w:r w:rsidDel="00000000" w:rsidR="00000000" w:rsidRPr="00000000">
        <w:rPr>
          <w:rtl w:val="0"/>
        </w:rPr>
        <w:t xml:space="preserve"> Diesel Labs has heavily integrated machine learning and generative AI to transform unscripted consumer feedback. On July 31, 2024, the company launched </w:t>
      </w:r>
      <w:r w:rsidDel="00000000" w:rsidR="00000000" w:rsidRPr="00000000">
        <w:rPr>
          <w:i w:val="1"/>
          <w:iCs w:val="1"/>
          <w:rtl w:val="0"/>
        </w:rPr>
        <w:t xml:space="preserve">Diesel AI</w:t>
      </w:r>
      <w:r w:rsidDel="00000000" w:rsidR="00000000" w:rsidRPr="00000000">
        <w:rPr>
          <w:rtl w:val="0"/>
        </w:rPr>
        <w:t xml:space="preserve"> (internally named </w:t>
      </w:r>
      <w:r w:rsidDel="00000000" w:rsidR="00000000" w:rsidRPr="00000000">
        <w:rPr>
          <w:i w:val="1"/>
          <w:iCs w:val="1"/>
          <w:rtl w:val="0"/>
        </w:rPr>
        <w:t xml:space="preserve">Daisy</w:t>
      </w:r>
      <w:r w:rsidDel="00000000" w:rsidR="00000000" w:rsidRPr="00000000">
        <w:rPr>
          <w:rtl w:val="0"/>
        </w:rPr>
        <w:t xml:space="preserve">), fusing ChatGPT with its proprietary multi-platform audience engagement datasets to allow natural-language querying of historical consumption trends. More importantly, Diesel Labs built </w:t>
      </w:r>
      <w:r w:rsidDel="00000000" w:rsidR="00000000" w:rsidRPr="00000000">
        <w:rPr>
          <w:b w:val="1"/>
          <w:bCs w:val="1"/>
          <w:rtl w:val="0"/>
        </w:rPr>
        <w:t xml:space="preserve">PanelAI</w:t>
      </w:r>
      <w:r w:rsidDel="00000000" w:rsidR="00000000" w:rsidRPr="00000000">
        <w:rPr>
          <w:rtl w:val="0"/>
        </w:rPr>
        <w:t xml:space="preserve">, an AI-first consumer intelligence platform that utilizes generative models to construct </w:t>
      </w:r>
      <w:r w:rsidDel="00000000" w:rsidR="00000000" w:rsidRPr="00000000">
        <w:rPr>
          <w:i w:val="1"/>
          <w:iCs w:val="1"/>
          <w:rtl w:val="0"/>
        </w:rPr>
        <w:t xml:space="preserve">synthetic focus groups</w:t>
      </w:r>
      <w:r w:rsidDel="00000000" w:rsidR="00000000" w:rsidRPr="00000000">
        <w:rPr>
          <w:rtl w:val="0"/>
        </w:rPr>
        <w:t xml:space="preserve">. Rather than conducting slow, expensive human panels, PanelAI simulates target demographics to predict consumer reactions, content preferences, and audience flows between different platforms in real time.</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IQRush and Answer Engine Visibility:</w:t>
      </w:r>
      <w:r w:rsidDel="00000000" w:rsidR="00000000" w:rsidRPr="00000000">
        <w:rPr>
          <w:rtl w:val="0"/>
        </w:rPr>
        <w:t xml:space="preserve"> On May 12, 2026, generative search visibility measurement platform IQRush was named a Representative Vendor in the 2026 Gartner Market Guide for Answer Engine Visibility Tools. IQRush provides the core analytic infrastructure to measure how brands, content, and products appear across major LLM search environments like ChatGPT, Gemini, and Perplexity. The platform tracks precision metrics including citation prevalence, brand mention frequency, real-time content valuation, and e-commerce discovery tracking. This allows studios and brands to mathematically predict the probability that a specific movie, series, or actor will be recommended when a consumer asks an AI assistant for content suggestions.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AI Technology / Product</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Measurement Metric</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Analytical Utility</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Diesel Labs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PanelAI</w:t>
            </w:r>
            <w:r w:rsidDel="00000000" w:rsidR="00000000" w:rsidRPr="00000000">
              <w:rPr>
                <w:rtl w:val="0"/>
              </w:rPr>
              <w:t xml:space="preserve"> (ML &amp; LLM synthetic simulation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focus-group engagement scores and audience flow ratios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Replaces manual surveys with automated, simulated target demographic testing.</w:t>
            </w:r>
          </w:p>
        </w:tc>
        <w:tc>
          <w:tcPr>
            <w:shd w:fill="auto" w:val="clear"/>
            <w:tcMar>
              <w:top w:w="0.0" w:type="dxa"/>
              <w:left w:w="0.0" w:type="dxa"/>
              <w:bottom w:w="0.0" w:type="dxa"/>
              <w:right w:w="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Diesel Labs</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Diesel AI (Daisy)</w:t>
            </w:r>
            <w:r w:rsidDel="00000000" w:rsidR="00000000" w:rsidRPr="00000000">
              <w:rPr>
                <w:rtl w:val="0"/>
              </w:rPr>
              <w:t xml:space="preserve"> (ChatGPT-fused data layer)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Conversational audience engagement query index</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analysts to conduct natural-language queries across multi-platform social data.</w:t>
            </w:r>
          </w:p>
        </w:tc>
        <w:tc>
          <w:tcPr>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IQRush</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Answer Engine Visibility Platform</w:t>
            </w:r>
            <w:r w:rsidDel="00000000" w:rsidR="00000000" w:rsidRPr="00000000">
              <w:rPr>
                <w:rtl w:val="0"/>
              </w:rPr>
              <w:t xml:space="preserve"> (Generative search tracker)</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Citation prevalence, mention index, and brand visibility scores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and optimizes content placement within LLM search results (ChatGPT, Perplexity).</w:t>
            </w:r>
          </w:p>
        </w:tc>
        <w:tc>
          <w:tcPr>
            <w:shd w:fill="auto" w:val="clear"/>
            <w:tcMar>
              <w:top w:w="0.0" w:type="dxa"/>
              <w:left w:w="0.0" w:type="dxa"/>
              <w:bottom w:w="0.0" w:type="dxa"/>
              <w:right w:w="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IQRush</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E-Commerce Discovery Engine</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purchase and product recommendation logs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transaction intent and brand discovery within generative shopping chat sessions.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Gracenote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AI-Conversational Metadata Layer</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Trust-to-accuracy variance ratios across user demographics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the gap between AI search adoption and user-perceived citation trustworthiness.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