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Connective Substrate: Identity Resolution, Data Clean Rooms, and the Agentic Commerce Frontier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Publicis-LiveRamp Acquisition: Financial Mechanics, Legal Dependencies, and Integration Parameters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definitive Agreement and Plan of Merger executed on May 16, 2026, between LiveRamp Holdings, Inc. and MMS USA Holdings, Inc.—a wholly owned subsidiary of Publicis Groupe—represents a critical structural consolidation of the global advertising data layer. Under the contract terms, Publicis Groupe will acquire all outstanding shares of LiveRamp common stock for $38.50 per share in an all-cash transaction. The transaction values LiveRamp at a total enterprise value of $2.167 billion (often rounded to $2.2 billion in operational disclosures) and a total equity value of $2.546 billion, a calculation that incorporates $379 million in acquired net cash. The acquisition price reflects a 29.8% premium over LiveRamp's closing share price of $29.66 on May 15, 2026, the final trading day prior to the public announcement of the merger.</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financial structure of the merger relies on parent-level representation of sufficient cash reserves, meaning the transaction contains no financing condition. Publicis Groupe intends to fund the 100% cash consideration through cash on hand alongside the issuance of new corporate bonds in the second half of 2026. Post-acquisition modeling projects that Publicis will peak at a maximum net financial leverage of approximately 1.2 times in fiscal year 2027, enabling the holding company to maintain its current BBB+ and Baa1 investment-grade credit ratings. LiveRamp's financial performance will be integrated into Publicis Groupe's Technology reporting segment—which currently comprises approximately 14% of net revenue and houses consulting arm Publicis Sapient, data platform Epsilon, and the Marcel AI operating system. Following consolidation, LiveRamp is expected to deliver operating margins in line with Publicis Groupe's baseline margins from the first year. Based on a calendarized 2026 consensus, LiveRamp is projected to generate non-GAAP EBITDA of roughly $126 million, which accounts for an $80 million share-based compensation cost adjustment to conform to Publicis accounting standards. Publicis anticipates extracting $50 million in pre-tax run-rate savings, making the transaction accretive to headline earnings per share (EPS) in year one. This accretion has prompted Publicis to elevate its constant currency growth targets for fiscal years 2027 and 2028: yearly net revenue growth is now projected at +7% to +8% (up from +6% to +7%) and headline EPS growth is modeled at +8% to +10% (up from +7% to +9%).</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Legal execution of the merger requires satisfying strict regulatory and shareholder thresholds. In accordance with the definitive merger proxy statement (Form DEFM14A) filed with the Securities and Exchange Commission, the transaction contemplates the merger of newly formed Covey Merger Sub into LiveRamp, with LiveRamp surviving as a wholly owned direct subsidiary of the parent. Stockholder approval requires the affirmative vote of holders of at least 66 2/3% of the outstanding shares of LiveRamp common stock. As of the Record Date, LiveRamp had 60,786,315 shares of common stock outstanding. LiveRamp's Board of Directors unanimously recommended adoption of the merger agreement, scheduled for a virtual special shareholder meeting on August 17, 2026, backed by a formal fairness opinion delivered by Evercore on May 16, 2026. Regulatory closing dependencies include clearances under the Hart-Scott-Rodino (HSR) Antitrust Improvements Act of 1976, reviews by the Committee on Foreign Investment in the United States (CFIUS), and multiple non-U.S. antitrust and Foreign Direct Investment (FDI) approvals. The parties have established a target closing date of December 31, 2026, subject to these customary regulatory conditions.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Financial &amp; Operational Metric</w:t>
            </w:r>
          </w:p>
        </w:tc>
        <w:tc>
          <w:tcPr>
            <w:shd w:fill="auto" w:val="clear"/>
            <w:tcMar>
              <w:top w:w="0.0" w:type="dxa"/>
              <w:left w:w="0.0" w:type="dxa"/>
              <w:bottom w:w="0.0" w:type="dxa"/>
              <w:right w:w="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Value / Term</w:t>
            </w:r>
          </w:p>
        </w:tc>
        <w:tc>
          <w:tcPr>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Source Reference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Per-Share Merger Consideration</w:t>
            </w:r>
          </w:p>
        </w:tc>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$38.50 Cash per Common Share</w:t>
            </w:r>
          </w:p>
        </w:tc>
        <w:tc>
          <w:tcPr>
            <w:shd w:fill="auto" w:val="clear"/>
            <w:tcMar>
              <w:top w:w="0.0" w:type="dxa"/>
              <w:left w:w="0.0" w:type="dxa"/>
              <w:bottom w:w="0.0" w:type="dxa"/>
              <w:right w:w="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Implied Premium (vs. May 15, 2026)</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29.8% (Based on $29.66 closing price)</w:t>
            </w:r>
          </w:p>
        </w:tc>
        <w:tc>
          <w:tcPr>
            <w:shd w:fill="auto" w:val="clear"/>
            <w:tcMar>
              <w:top w:w="0.0" w:type="dxa"/>
              <w:left w:w="0.0" w:type="dxa"/>
              <w:bottom w:w="0.0" w:type="dxa"/>
              <w:right w:w="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Enterprise / Equity Value</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$2.167 Billion Enterprise / $2.546 Billion Equity</w:t>
            </w:r>
          </w:p>
        </w:tc>
        <w:tc>
          <w:tcPr>
            <w:shd w:fill="auto" w:val="clear"/>
            <w:tcMar>
              <w:top w:w="0.0" w:type="dxa"/>
              <w:left w:w="0.0" w:type="dxa"/>
              <w:bottom w:w="0.0" w:type="dxa"/>
              <w:right w:w="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Shares Outstanding (Record Date)</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60,786,315 Shares</w:t>
            </w:r>
          </w:p>
        </w:tc>
        <w:tc>
          <w:tcPr>
            <w:shd w:fill="auto" w:val="clear"/>
            <w:tcMar>
              <w:top w:w="0.0" w:type="dxa"/>
              <w:left w:w="0.0" w:type="dxa"/>
              <w:bottom w:w="0.0" w:type="dxa"/>
              <w:right w:w="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Post-Merger Peak Financial Leverage</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Approximately 1.2x Net Debt / EBITDA (2027)</w:t>
            </w:r>
          </w:p>
        </w:tc>
        <w:tc>
          <w:tcPr>
            <w:shd w:fill="auto" w:val="clear"/>
            <w:tcMar>
              <w:top w:w="0.0" w:type="dxa"/>
              <w:left w:w="0.0" w:type="dxa"/>
              <w:bottom w:w="0.0" w:type="dxa"/>
              <w:right w:w="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Calendarized 2026 Non-GAAP EBITDA</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$126 Million (Includes $80M SBC adjustment)</w:t>
            </w:r>
          </w:p>
        </w:tc>
        <w:tc>
          <w:tcPr>
            <w:shd w:fill="auto" w:val="clear"/>
            <w:tcMar>
              <w:top w:w="0.0" w:type="dxa"/>
              <w:left w:w="0.0" w:type="dxa"/>
              <w:bottom w:w="0.0" w:type="dxa"/>
              <w:right w:w="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Anticipated Annual Savings</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 Million Pre-tax Run-rate</w:t>
            </w:r>
          </w:p>
        </w:tc>
        <w:tc>
          <w:tcPr>
            <w:shd w:fill="auto" w:val="clear"/>
            <w:tcMar>
              <w:top w:w="0.0" w:type="dxa"/>
              <w:left w:w="0.0" w:type="dxa"/>
              <w:bottom w:w="0.0" w:type="dxa"/>
              <w:right w:w="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Target Shareholder Vote Date</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August 17, 2026 (66 2/3% affirmative required)</w:t>
            </w:r>
          </w:p>
        </w:tc>
        <w:tc>
          <w:tcPr>
            <w:shd w:fill="auto" w:val="clear"/>
            <w:tcMar>
              <w:top w:w="0.0" w:type="dxa"/>
              <w:left w:w="0.0" w:type="dxa"/>
              <w:bottom w:w="0.0" w:type="dxa"/>
              <w:right w:w="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Anticipated Close Date</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December 31, 2026</w:t>
            </w:r>
          </w:p>
        </w:tc>
        <w:tc>
          <w:tcPr>
            <w:shd w:fill="auto" w:val="clear"/>
            <w:tcMar>
              <w:top w:w="0.0" w:type="dxa"/>
              <w:left w:w="0.0" w:type="dxa"/>
              <w:bottom w:w="0.0" w:type="dxa"/>
              <w:right w:w="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Credit Rating Impact</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Maintenance of BBB+ / Baa1 ratings</w:t>
            </w:r>
          </w:p>
        </w:tc>
        <w:tc>
          <w:tcPr>
            <w:shd w:fill="auto" w:val="clear"/>
            <w:tcMar>
              <w:top w:w="0.0" w:type="dxa"/>
              <w:left w:w="0.0" w:type="dxa"/>
              <w:bottom w:w="0.0" w:type="dxa"/>
              <w:right w:w="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Fall of the "Switzerland of Data": Client Attrition Risk and Competitive Realignment</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over a decade, LiveRamp operated as the independent "Switzerland of data," an industry-wide connective tissue allowing competing brands, publishers, and agencies to onboard and resolve first-party data without fear of enriching a direct rival. The acquisition of LiveRamp by Publicis Groupe represents the final stage of a multi-year consolidation of independent data clean rooms and identity infrastructure. Within an eighteen-month span, the neutral data collaboration market effectively dissolved. LiveRamp acquired clean room pioneer Habu in 2024; WPP acquired InfoSum in April 2025; and Omnicom finalized the acquisition of Acxiom in 2025 to embed its data assets directly into its proprietary Omni platform. Because LiveRamp was the last remaining neutral layer beneath the entire digital advertising ecosystem, its acquisition by a major agency holding company has introduced significant structural friction.</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Rival agency holding companies have reacted with immediate, public resistance to the takeover, presenting severe client attrition risks for LiveRamp's legacy agency-agnostic customer base. WPP Chief Executive Officer Cindy Rose confirmed at the Cannes Lions festival in June 2026 that the UK-based holding group has initiated plans to completely stop its use of LiveRamp following the acquisition. When pressed directly on the rationale for this migration, Rose responded, "What do you think? Next question," signaling that routing client workflows through rival infrastructure is a non-starter. WPP is actively transitioning its clients to InfoSum, routing its data processing through the GroupM and WPP Open platforms. Simultaneously, Omnicom is preparing to exit LiveRamp when its contract runs its course in Q1 2028. Having absorbed the IPG client portfolio through acquisition, Omnicom has spent years developing its own proprietary identity framework, Real ID, within Acxiom specifically to eliminate external programmatic tolls and third-party infrastructure dependencies.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Industry analysts and adtech executives have voiced sharp criticisms regarding LiveRamp's claims of continued neutrality under Publicis ownership. Mathieu Roche, Chief Executive Officer of identity provider ID5, pointed out that Publicis's own corporate communications—which highlight the competitive media advantage the acquisition brings to Publicis clients—directly contradict the notion of an unbiased, neutral utility. Roche noted that competing brands will remain fiercely protective of their first-party data assets and are unlikely to tolerate proximity to Publicis's media buying operations, forcing them to adopt truly independent identity alternatives. Will Rand, co-founder of CleanTap, argued that LiveRamp's market dominance was historically tolerated only because it lacked structural alignment with any single buyer or seller, a trust dynamic that is fundamentally altered regardless of corporate firewalls or reassurances.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Furthermore, Doug Ray, founder of Ray Media Advisory, termed the transaction "the end of the neutral middle" and drew parallels to IPG's acquisition of Acxiom in 2018. Ray observed that despite similar neutrality pledges, Acxiom's growth stalled as competing agencies quietly routed around its systems, prompting him to advise publishers and retail media networks to aggressively pursue dual-pathway identity architectures. Christopher Feo, Senior Vice President of Sales at Unity CRO, reported that the transition has introduced massive market uncertainty, resulting in a sharp increase in calls, emails, and exploratory conversations as non-Publicis clients seek to diversify operational risks by exploring alternative onboarding and clean room vendors.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Agency Holding Company</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Strategic Identity / Clean Room Asset</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Current Posture toward LiveRamp</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Source Reference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Publicis Groupe</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Epsilon + Lotame + LiveRamp</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Parent Acquirer; utilizing for co-creation &amp; agentic AI</w:t>
            </w:r>
          </w:p>
        </w:tc>
        <w:tc>
          <w:tcPr>
            <w:shd w:fill="auto" w:val="clear"/>
            <w:tcMar>
              <w:top w:w="0.0" w:type="dxa"/>
              <w:left w:w="0.0" w:type="dxa"/>
              <w:bottom w:w="0.0" w:type="dxa"/>
              <w:right w:w="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WPP</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InfoSum (embedded in GroupM &amp; WPP Open)</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Full exit initiated; migrating clients to InfoSum</w:t>
            </w:r>
          </w:p>
        </w:tc>
        <w:tc>
          <w:tcPr>
            <w:shd w:fill="auto" w:val="clear"/>
            <w:tcMar>
              <w:top w:w="0.0" w:type="dxa"/>
              <w:left w:w="0.0" w:type="dxa"/>
              <w:bottom w:w="0.0" w:type="dxa"/>
              <w:right w:w="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Omnicom</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Acxiom + Omni Platform + Real ID</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Phased exit; contract set to expire Q1 2028</w:t>
            </w:r>
          </w:p>
        </w:tc>
        <w:tc>
          <w:tcPr>
            <w:shd w:fill="auto" w:val="clear"/>
            <w:tcMar>
              <w:top w:w="0.0" w:type="dxa"/>
              <w:left w:w="0.0" w:type="dxa"/>
              <w:bottom w:w="0.0" w:type="dxa"/>
              <w:right w:w="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Independent Agencies</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Third-party integrations (e.g., ID5, CleanTap, Resonate)</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Shifting to owned data assets and dual-pathways</w:t>
            </w:r>
          </w:p>
        </w:tc>
        <w:tc>
          <w:tcPr>
            <w:shd w:fill="auto" w:val="clear"/>
            <w:tcMar>
              <w:top w:w="0.0" w:type="dxa"/>
              <w:left w:w="0.0" w:type="dxa"/>
              <w:bottom w:w="0.0" w:type="dxa"/>
              <w:right w:w="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Open-Source Alternatives and Programmatic Interoperability: UID2 and The Trade Desk</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LiveRamp transitions into a proprietary asset within the Publicis portfolio, the competitive position of Unified ID 2.0 (UID2) as the leading open-source, independent identity alternative is heavily reinforced. Originally developed by The Trade Desk, UID2 operates as a decentralized, transparent standard for the open web. The technical mechanism of UID2 relies on deterministic first-party data, such as a user's authenticated email address or phone number. This sensitive information is hashed and salted to generate an encrypted alphanumeric identifier. Unlike browser cookies, UID2 serves as an omnichannel, cross-device identifier that enables precise targeting, campaign optimization, and closed-loop measurement across CTV, mobile apps, and browser environments. Consumer privacy is maintained via a centralized opt-out portal, requiring participating DSPs and publishers to honor opt-out signals programmatically.</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acquisition of LiveRamp has not disrupted the functional relationship between Publicis Groupe and The Trade Desk. On June 12, 2026, both companies formally reaffirmed their shared commitment to advertiser outcomes, with Publicis recommending that its clients utilize The Trade Desk's demand-side platform (DSP) to execute programmatic media buys. This joint commitment illustrates a critical industry dynamic: even as agency holding companies consolidate proprietary identity graphs and clean room technologies, they remain dependent on independent, scale-optimized programmatic rails like The Trade Desk to execute media buys on the open web. Supply partners continue to integrate multiple identifier protocols, including UID2, TransUnion, ConnectID, and RampID, to maximize addressable programmatic match rates.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Concurrently, The Trade Desk is advancing its programmatic capabilities to support automated, AI-mediated workflows. During its Q2 Kokai platform updates, the company introduced granular, per-component optimizations, customizable lookback windows, and upgrades to its Deal Desk interface. The central pillar of this programmatic evolution is the "Koa Agents" campaign management system, currently in pilot with major agency executives. The system utilizes an interoperability framework called the Open Agentic Kit to connect to external, advanced AI models, including Anthropic's Claude. In practice, a Koa Agent can ingest a raw media plan from an agency, automatically reformat the parameters into a system-compatible template, and programmatically build out the campaign structure within the DSP. To protect open internet advertising against the closed-loop measurement models of walled gardens, The Trade Desk has also invested in custom bidding algorithm developers like Chalice AI. Chalice's federated AI infrastructure operates by training custom models that inform bidding decisions across fragmented, independent publisher inventories, allowing brands to optimize reach without surrendering data sovereignty to walled-garden platforms.</w:t>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Walled-Garden Clean Room Economics: Amazon Marketing Cloud vs. Walmart Connect (Scintilla)</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Walled gardens continue to leverage their scale to force advertisers into closed, proprietary server environments, but their internal economic structures and growth dynamics have diverged significantly. Amazon's advertising business has matured into a massive, full-funnel marketing channel generating over $50 billion annually in 2026, up from $38 billion in 2023, and currently supports over 2 million active advertisers. To capture lower-funnel demand, Amazon offers its core Amazon Marketing Cloud (AMC) query environment and standard advertising signals completely free of charge to any advertiser maintaining an active Amazon DSP Master Services Agreement. The core platform provides SQL-native access to event-level data, allowing analysts to run instructional queries mapping user-level touchpoints across Sponsored Ads, DSP campaigns, and Streaming TV.</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commercial leverage within AMC is applied through premium datasets and "Paid Features" (beta). Advertisers wishing to append third-party demographic signals, such as Experian or NCS data, must pay customized, non-published subscription fees that range from a few hundred to several thousand dollars per month depending on account volume. Despite these costs, AMC has significantly expanded its analytical boundaries. Following its unBoxed 2025 event, Amazon extended AMC's ad-traffic lookback window from 13 months to 25 months and unlocked up to 5 years of historical data for store purchase signals and video viewership. Performance marketers utilize this expanded history to run the "Golden Triangle" playbook, which uses unique Amazon Attribution (AA) tags on external traffic sources (Google, Meta, TikTok) to measure how off-platform influencer spend drives on-platform organic search lift and Subscribe &amp; Save conversions. Using AMC's SQL-native engine, advertisers calculate Customer Lifetime ACOS (LTV-ACOS), showing that shifting bids toward campaigns with high repeat-buyer velocity yields an average 34.1% improvement in ROAS. To simplify operations, Amazon has integrated natural language query models via its "Ads Agent" (beta) and introduced ML Custom Models, allowing brands to deploy custom bidding algorithms directly within the clean room environment.</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Walmart Connect, while smaller in absolute scale, is growing at a faster rate than Amazon's ad business, with its annual ad revenue surpassing $4.8 billion in 2025, representing a 30% year-over-year increase. Walmart's measurement architecture is powered by a Multi-Touch Attribution (MTA) model unified across onsite, offsite, and physical in-club transactions. Sitting behind this system is Walmart Luminate (currently rebranding to Scintilla), which functions as the network's proprietary clean room. In April 2026, Walmart Connect launched closed-loop social ads with Meta, allowing brands to directly measure how social ad spend on Meta translates to physical in-store and online Walmart transactions without exporting first-party shopper data. This integration is powered by a LiveRamp clean room, narrowing the offsite measurement gap that historically favored Amazon Marketing Cloud. Additionally, Walmart Connect has adjusted its commercial terms to pressure competitors, dropping its minimum advertising bid requirements to lower entry barriers and capture mid-market brand spend that previously defaulted to Amazon.</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Economic / Technical Vector</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Amazon Marketing Cloud (AMC)</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Walmart Connect (Scintilla)</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Source Reference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Annual Advertising Revenue</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Over $50 Billion (2026)</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Over $4.8 Billion (2025; up 30% YoY)</w:t>
            </w:r>
          </w:p>
        </w:tc>
        <w:tc>
          <w:tcPr>
            <w:shd w:fill="auto" w:val="clear"/>
            <w:tcMar>
              <w:top w:w="0.0" w:type="dxa"/>
              <w:left w:w="0.0" w:type="dxa"/>
              <w:bottom w:w="0.0" w:type="dxa"/>
              <w:right w:w="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Platform Growth Velocity</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Mature baseline growth</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Outpacing Amazon's growth rate</w:t>
            </w:r>
          </w:p>
        </w:tc>
        <w:tc>
          <w:tcPr>
            <w:shd w:fill="auto" w:val="clear"/>
            <w:tcMar>
              <w:top w:w="0.0" w:type="dxa"/>
              <w:left w:w="0.0" w:type="dxa"/>
              <w:bottom w:w="0.0" w:type="dxa"/>
              <w:right w:w="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Core Software Pricing</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 for active DSP/AWS advertisers</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Bundled within Luminate (Scintilla) subscriptions</w:t>
            </w:r>
          </w:p>
        </w:tc>
        <w:tc>
          <w:tcPr>
            <w:shd w:fill="auto" w:val="clear"/>
            <w:tcMar>
              <w:top w:w="0.0" w:type="dxa"/>
              <w:left w:w="0.0" w:type="dxa"/>
              <w:bottom w:w="0.0" w:type="dxa"/>
              <w:right w:w="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SQL-Native Accessibility</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 (Instructional Query Library available)</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(MTA-driven interface via Scintilla)</w:t>
            </w:r>
          </w:p>
        </w:tc>
        <w:tc>
          <w:tcPr>
            <w:shd w:fill="auto" w:val="clear"/>
            <w:tcMar>
              <w:top w:w="0.0" w:type="dxa"/>
              <w:left w:w="0.0" w:type="dxa"/>
              <w:bottom w:w="0.0" w:type="dxa"/>
              <w:right w:w="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Ad-Traffic Lookback Window</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 Months (Expanded Nov 2025)</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Unified Multi-Touch Attribution window</w:t>
            </w:r>
          </w:p>
        </w:tc>
        <w:tc>
          <w:tcPr>
            <w:shd w:fill="auto" w:val="clear"/>
            <w:tcMar>
              <w:top w:w="0.0" w:type="dxa"/>
              <w:left w:w="0.0" w:type="dxa"/>
              <w:bottom w:w="0.0" w:type="dxa"/>
              <w:right w:w="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Offsite Channel Attribution</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Amazon Attribution (AA) click tags</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Meta Closed-Loop Ads via LiveRamp</w:t>
            </w:r>
          </w:p>
        </w:tc>
        <w:tc>
          <w:tcPr>
            <w:shd w:fill="auto" w:val="clear"/>
            <w:tcMar>
              <w:top w:w="0.0" w:type="dxa"/>
              <w:left w:w="0.0" w:type="dxa"/>
              <w:bottom w:w="0.0" w:type="dxa"/>
              <w:right w:w="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Premium Data Monetization</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Paid subscriptions for Experian, NCS datasets</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Direct Scintilla insight activation licensing</w:t>
            </w:r>
          </w:p>
        </w:tc>
        <w:tc>
          <w:tcPr>
            <w:shd w:fill="auto" w:val="clear"/>
            <w:tcMar>
              <w:top w:w="0.0" w:type="dxa"/>
              <w:left w:w="0.0" w:type="dxa"/>
              <w:bottom w:w="0.0" w:type="dxa"/>
              <w:right w:w="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Bidding Barrier Strategies</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Programmatic bidding across DSP tiers</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Dropped minimum ad bids to capture mid-market</w:t>
            </w:r>
          </w:p>
        </w:tc>
        <w:tc>
          <w:tcPr>
            <w:shd w:fill="auto" w:val="clear"/>
            <w:tcMar>
              <w:top w:w="0.0" w:type="dxa"/>
              <w:left w:w="0.0" w:type="dxa"/>
              <w:bottom w:w="0.0" w:type="dxa"/>
              <w:right w:w="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6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Agentic Commerce Frontier: Non-Human Identity Protocols and Authentication Standards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primary strategic driver behind Publicis Groupe's acquisition of LiveRamp is not legacy campaign optimization, but rather securing a foundational position in the emerging "agentic era" of commerce. Publicis is positioning the acquisition to facilitate "agentic business transformation," transitioning from traditional advertising execution to building and deploying specialized AI agents for enterprise clients. Under this framework, data clean rooms operate as secure data co-creation environments. By synthesizing Epsilon's deterministic identity assets with LiveRamp's multi-market data co-creation platform, Publicis aims to compile highly enriched, dynamic customer profiles. These specialized co-created datasets serve as the training foundation for enterprise AI agents, replacing static, public large language models with real-time customer behavior signals.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these autonomous AI agents transition into active production roles, they represent a new class of active principals in enterprise systems. By 2026, Non-Human Identities (NHIs)—which encompass workload identities, service accounts, and agent certificates—outnumber human identities in large enterprises by a ratio of at least 40:1. Unlike human authentication, which relies on static, once-and-done login credentials, AI agents operate at machine speed, spawn nested child sessions, and are highly vulnerable to prompt-injection and coercion attacks. Consequently, the industry is witnessing a rapid deployment of specialized non-human identity (NHI) and runtime authentication protocols.</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primary protocol standard emerging in 2026 is the </w:t>
      </w:r>
      <w:r w:rsidDel="00000000" w:rsidR="00000000" w:rsidRPr="00000000">
        <w:rPr>
          <w:b w:val="1"/>
          <w:bCs w:val="1"/>
          <w:rtl w:val="0"/>
        </w:rPr>
        <w:t xml:space="preserve">AgentID Protocol</w:t>
      </w:r>
      <w:r w:rsidDel="00000000" w:rsidR="00000000" w:rsidRPr="00000000">
        <w:rPr>
          <w:rtl w:val="0"/>
        </w:rPr>
        <w:t xml:space="preserve"> (submitted as an IETF Internet-Draft on March 14, 2026, by Uzua). The AgentID Protocol defines the </w:t>
      </w:r>
      <w:r w:rsidDel="00000000" w:rsidR="00000000" w:rsidRPr="00000000">
        <w:rPr>
          <w:b w:val="1"/>
          <w:bCs w:val="1"/>
          <w:rtl w:val="0"/>
        </w:rPr>
        <w:t xml:space="preserve">Agent Identity Token (AIT)</w:t>
      </w:r>
      <w:r w:rsidDel="00000000" w:rsidR="00000000" w:rsidRPr="00000000">
        <w:rPr>
          <w:rtl w:val="0"/>
        </w:rPr>
        <w:t xml:space="preserve">, a cryptographically signed JSON Web Token (JWT) that carries claims verifying agent identity, owner registration, capability, and delegation chains with scope attenuation. The protocol addresses three fundamental security gaps by cryptographically answering: which agent is initiating the request, who is legally and operationally accountable for its execution, and what specific tasks it is authorized to perform.</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support these workflows, the 2026 agentic security architecture incorporates several complementary protocols:</w:t>
      </w:r>
    </w:p>
    <w:p w:rsidR="00000000" w:rsidDel="00000000" w:rsidP="00000000" w:rsidRDefault="00000000" w:rsidRPr="00000000" w14:paraId="0000007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OAuth 2.1 with Proof Key for Code Exchange (PKCE)</w:t>
      </w:r>
      <w:r w:rsidDel="00000000" w:rsidR="00000000" w:rsidRPr="00000000">
        <w:rPr>
          <w:rtl w:val="0"/>
        </w:rPr>
        <w:t xml:space="preserve">: Handles the user-consent phase of delegated agentic workflows, generating secure tokens that bind the agent's identity, the user's identity, and the consented action scope.</w:t>
      </w:r>
    </w:p>
    <w:p w:rsidR="00000000" w:rsidDel="00000000" w:rsidP="00000000" w:rsidRDefault="00000000" w:rsidRPr="00000000" w14:paraId="0000007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SPIFFE / SPIRE</w:t>
      </w:r>
      <w:r w:rsidDel="00000000" w:rsidR="00000000" w:rsidRPr="00000000">
        <w:rPr>
          <w:rtl w:val="0"/>
        </w:rPr>
        <w:t xml:space="preserve">: Standardizes platform-attested cryptographic identities in cloud-native environments, replacing insecure, hard-coded API keys with dynamic, rotated credentials.</w:t>
      </w:r>
    </w:p>
    <w:p w:rsidR="00000000" w:rsidDel="00000000" w:rsidP="00000000" w:rsidRDefault="00000000" w:rsidRPr="00000000" w14:paraId="0000007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Model Context Protocol (MCP)</w:t>
      </w:r>
      <w:r w:rsidDel="00000000" w:rsidR="00000000" w:rsidRPr="00000000">
        <w:rPr>
          <w:rtl w:val="0"/>
        </w:rPr>
        <w:t xml:space="preserve">: Governs secure tool invocation, enforcing runtime guardrails to prevent agents from executing commands that exceed their authorized boundaries.</w:t>
      </w:r>
    </w:p>
    <w:p w:rsidR="00000000" w:rsidDel="00000000" w:rsidP="00000000" w:rsidRDefault="00000000" w:rsidRPr="00000000" w14:paraId="0000007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Ping Identity's "Identity for AI"</w:t>
      </w:r>
      <w:r w:rsidDel="00000000" w:rsidR="00000000" w:rsidRPr="00000000">
        <w:rPr>
          <w:rtl w:val="0"/>
        </w:rPr>
        <w:t xml:space="preserve">: (GA March 2026) provides an enterprise security framework comprised of Agent IAM Core, Agent Gateway, and Agent Detection, enabling real-time detection of agentic sessions and continuous contextual authorization at every tool call.</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protocols are directly enabling automated commerce workflows. Prior to the LiveRamp acquisition, Omnicom CEO John Wren disclosed that the holding group had successfully executed real-world media buys for several clients using autonomous AI agents. These agents negotiated and executed transactions directly with publisher interfaces, completely bypassing the traditional programmatic adtech stack, eliminating intermediary adtech tolls, and maximizing working media budgets. In an ecosystem where AI agents autonomously resolve identity and execute programmatic transactions, secure and cryptographically bound non-human identity protocols serve as the vital infrastructure making agentic commerce possible.</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Protocol / Standard</w:t>
            </w:r>
          </w:p>
        </w:tc>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Operational Focus</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Technical Cryptographic Mechanism</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Source Reference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AgentID Protocol</w:t>
            </w:r>
            <w:r w:rsidDel="00000000" w:rsidR="00000000" w:rsidRPr="00000000">
              <w:rPr>
                <w:rtl w:val="0"/>
              </w:rPr>
              <w:t xml:space="preserve"> (Uzua)</w:t>
            </w:r>
          </w:p>
        </w:tc>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Autonomous Agent Identity</w:t>
            </w:r>
          </w:p>
        </w:tc>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Signed JWT (Agent Identity Token) with delegation chain claims</w:t>
            </w:r>
          </w:p>
        </w:tc>
        <w:tc>
          <w:tcPr>
            <w:shd w:fill="auto" w:val="clear"/>
            <w:tcMar>
              <w:top w:w="0.0" w:type="dxa"/>
              <w:left w:w="0.0" w:type="dxa"/>
              <w:bottom w:w="0.0" w:type="dxa"/>
              <w:right w:w="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OAuth 2.1 with PKCE</w:t>
            </w:r>
          </w:p>
        </w:tc>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User-Delegated Consent</w:t>
            </w:r>
          </w:p>
        </w:tc>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Authorization code flow with verification keys; scoped tokens</w:t>
            </w:r>
          </w:p>
        </w:tc>
        <w:tc>
          <w:tcPr>
            <w:shd w:fill="auto" w:val="clear"/>
            <w:tcMar>
              <w:top w:w="0.0" w:type="dxa"/>
              <w:left w:w="0.0" w:type="dxa"/>
              <w:bottom w:w="0.0" w:type="dxa"/>
              <w:right w:w="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SPIFFE / SPIRE</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Workload Attestation</w:t>
            </w:r>
          </w:p>
        </w:tc>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Platform-attested cryptographic SVIDs; automated rotation</w:t>
            </w:r>
          </w:p>
        </w:tc>
        <w:tc>
          <w:tcPr>
            <w:shd w:fill="auto" w:val="clear"/>
            <w:tcMar>
              <w:top w:w="0.0" w:type="dxa"/>
              <w:left w:w="0.0" w:type="dxa"/>
              <w:bottom w:w="0.0" w:type="dxa"/>
              <w:right w:w="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Model Context Protocol (MCP)</w:t>
            </w:r>
          </w:p>
        </w:tc>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Tool Invocation Security</w:t>
            </w:r>
          </w:p>
        </w:tc>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Standardized APIs with runtime execution guardrails</w:t>
            </w:r>
          </w:p>
        </w:tc>
        <w:tc>
          <w:tcPr>
            <w:shd w:fill="auto" w:val="clear"/>
            <w:tcMar>
              <w:top w:w="0.0" w:type="dxa"/>
              <w:left w:w="0.0" w:type="dxa"/>
              <w:bottom w:w="0.0" w:type="dxa"/>
              <w:right w:w="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Identity for AI</w:t>
            </w:r>
            <w:r w:rsidDel="00000000" w:rsidR="00000000" w:rsidRPr="00000000">
              <w:rPr>
                <w:rtl w:val="0"/>
              </w:rPr>
              <w:t xml:space="preserve"> (Ping)</w:t>
            </w:r>
          </w:p>
        </w:tc>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Runtime Policy Enforcement</w:t>
            </w:r>
          </w:p>
        </w:tc>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Contextual authorization, gateway firewalls, agent detection</w:t>
            </w:r>
          </w:p>
        </w:tc>
        <w:tc>
          <w:tcPr>
            <w:shd w:fill="auto" w:val="clear"/>
            <w:tcMar>
              <w:top w:w="0.0" w:type="dxa"/>
              <w:left w:w="0.0" w:type="dxa"/>
              <w:bottom w:w="0.0" w:type="dxa"/>
              <w:right w:w="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8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Comscore's Strategic Restructuring: Recapitalization, Divestiture, and the AI-Measurement Pivot</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digital tracking signals deprecate, independent validation is critical to establishing marketplace trust and verifying clean room performance. Comscore's CustomIQ division has positioned itself as an independent arbiter, conducting the Q1 2026 analysis that verified LiveRamp's 99.5% match rate on Full PII with complete address data, and an 89.8% match rate on email-only records. This evaluation was completed by measuring LiveRamp's device linkages (ConsumerLinks) against approximately 6,000 Total Home Panels based on different permutations of names, addresses, phone numbers, and emails, validating the consistency of deterministic identity graphs over legacy tracking methods.</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validation capability is the result of a significant corporate and balance sheet restructuring at Comscore. On December 29, 2025, Comscore closed a comprehensive financial recapitalization that exchanged outstanding preferred stock into common stock and new Series C convertible preferred stock. This recapitalization restructured Comscore's balance sheet, eliminating an $18 million annual dividend burden and removing a special dividend right of at least $47 million. To complete its transition to a pure-play digital advertising measurement company, Comscore divested its </w:t>
      </w:r>
      <w:r w:rsidDel="00000000" w:rsidR="00000000" w:rsidRPr="00000000">
        <w:rPr>
          <w:b w:val="1"/>
          <w:bCs w:val="1"/>
          <w:rtl w:val="0"/>
        </w:rPr>
        <w:t xml:space="preserve">Comscore Movies</w:t>
      </w:r>
      <w:r w:rsidDel="00000000" w:rsidR="00000000" w:rsidRPr="00000000">
        <w:rPr>
          <w:rtl w:val="0"/>
        </w:rPr>
        <w:t xml:space="preserve"> box office measurement business on May 27, 2026, using the proceeds to eliminate $40 million in senior debt.</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Alongside this capital restructuring, Comscore completed a total leadership transition. On May 28, 2026, Matt McLaughlin—the former Chief Operating Officer of DoubleVerify and a major common stockholder—was appointed Chief Executive Officer, succeeding Jon Carpenter who transitioned to a senior advisory role. Concurrently, global business leader Stuart Frankel was appointed to the Board of Directors, serving as the chair of the Audit Committee. Frankel, the former co-founder and CEO of Narrative Science (a generative AI firm acquired by Salesforce) and a former member of the senior leadership team at DoubleClick, brings extensive operational experience in advertising technology, data analytics, and artificial intelligence.</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Under McLaughlin and Frankel, Comscore is pivoting its core measurement products to track AI-driven consumer behavior. The company is positioning CustomIQ as an advanced, standalone identity-adjacent product line to deliver deep research into consumer behavioral shifts. This strategy is highlighted by the mid-2026 release of the Comscore AI Intelligence Report (powered by CustomIQ data), which focuses on "The Last Click Factor," investigating how modern consumers are actively outsourcing their purchasing and research journeys to autonomous AI assistants. This positioning aligns Comscore's restructured digital measurement business with the validation requirements of the emerging agentic commerce landscape.</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Restructuring Phase</w:t>
            </w:r>
          </w:p>
        </w:tc>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Date</w:t>
            </w:r>
          </w:p>
        </w:tc>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Strategic &amp; Financial Action</w:t>
            </w:r>
          </w:p>
        </w:tc>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Source Reference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Corporate Recapitalization</w:t>
            </w:r>
          </w:p>
        </w:tc>
        <w:tc>
          <w:tcPr>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December 29, 2025</w:t>
            </w:r>
          </w:p>
        </w:tc>
        <w:tc>
          <w:tcPr>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Exchanged preferred stock; eliminated $18M dividend burden</w:t>
            </w:r>
          </w:p>
        </w:tc>
        <w:tc>
          <w:tcPr>
            <w:shd w:fill="auto" w:val="clear"/>
            <w:tcMar>
              <w:top w:w="0.0" w:type="dxa"/>
              <w:left w:w="0.0" w:type="dxa"/>
              <w:bottom w:w="0.0" w:type="dxa"/>
              <w:right w:w="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Independent Graph Validation</w:t>
            </w:r>
          </w:p>
        </w:tc>
        <w:tc>
          <w:tcPr>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Q1 2026</w:t>
            </w:r>
          </w:p>
        </w:tc>
        <w:tc>
          <w:tcPr>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CustomIQ verified LiveRamp's 99.5% match rate on Full PII</w:t>
            </w:r>
          </w:p>
        </w:tc>
        <w:tc>
          <w:tcPr>
            <w:shd w:fill="auto" w:val="clear"/>
            <w:tcMar>
              <w:top w:w="0.0" w:type="dxa"/>
              <w:left w:w="0.0" w:type="dxa"/>
              <w:bottom w:w="0.0" w:type="dxa"/>
              <w:right w:w="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Comscore Movies Divestiture</w:t>
            </w:r>
          </w:p>
        </w:tc>
        <w:tc>
          <w:tcPr>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May 27, 2026</w:t>
            </w:r>
          </w:p>
        </w:tc>
        <w:tc>
          <w:tcPr>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Divested box office unit; eliminated $40M senior debt</w:t>
            </w:r>
          </w:p>
        </w:tc>
        <w:tc>
          <w:tcPr>
            <w:shd w:fill="auto" w:val="clear"/>
            <w:tcMar>
              <w:top w:w="0.0" w:type="dxa"/>
              <w:left w:w="0.0" w:type="dxa"/>
              <w:bottom w:w="0.0" w:type="dxa"/>
              <w:right w:w="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CEO Appointment</w:t>
            </w:r>
          </w:p>
        </w:tc>
        <w:tc>
          <w:tcPr>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May 28, 2026</w:t>
            </w:r>
          </w:p>
        </w:tc>
        <w:tc>
          <w:tcPr>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Appointed Matt McLaughlin (DoubleVerify alum) as CEO</w:t>
            </w:r>
          </w:p>
        </w:tc>
        <w:tc>
          <w:tcPr>
            <w:shd w:fill="auto" w:val="clear"/>
            <w:tcMar>
              <w:top w:w="0.0" w:type="dxa"/>
              <w:left w:w="0.0" w:type="dxa"/>
              <w:bottom w:w="0.0" w:type="dxa"/>
              <w:right w:w="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Board Appointment</w:t>
            </w:r>
          </w:p>
        </w:tc>
        <w:tc>
          <w:tcPr>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May 28, 2026</w:t>
            </w:r>
          </w:p>
        </w:tc>
        <w:tc>
          <w:tcPr>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Appointed Stuart Frankel (Narrative Science co-founder)</w:t>
            </w:r>
          </w:p>
        </w:tc>
        <w:tc>
          <w:tcPr>
            <w:shd w:fill="auto" w:val="clear"/>
            <w:tcMar>
              <w:top w:w="0.0" w:type="dxa"/>
              <w:left w:w="0.0" w:type="dxa"/>
              <w:bottom w:w="0.0" w:type="dxa"/>
              <w:right w:w="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AI Measurement Pivot</w:t>
            </w:r>
          </w:p>
        </w:tc>
        <w:tc>
          <w:tcPr>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Mid-2026</w:t>
            </w:r>
          </w:p>
        </w:tc>
        <w:tc>
          <w:tcPr>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Launched AI Intelligence Report tracking AI assistants</w:t>
            </w:r>
          </w:p>
        </w:tc>
        <w:tc>
          <w:tcPr>
            <w:shd w:fill="auto" w:val="clear"/>
            <w:tcMar>
              <w:top w:w="0.0" w:type="dxa"/>
              <w:left w:w="0.0" w:type="dxa"/>
              <w:bottom w:w="0.0" w:type="dxa"/>
              <w:right w:w="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A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Strategic Industry Syntheses and Conclusions</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structural shifts taking place across the identity, clean room, and measurement layers reveal that control over the data distribution layer has become the primary battlefield in the digital advertising ecosystem. Publicis Groupe's $2.55 billion acquisition of LiveRamp represents a decisive move to secure this layer, integrating deterministic identity, clean room connectivity, and data onboarding into a single, automated, and AI-enabled agency stack. However, this transaction has fractured the industry's neutral middle, driving rival agency holding companies to pull out of LiveRamp to protect their data sovereignty. WPP's complete migration to InfoSum and Omnicom's planned exit in favor of its proprietary Real ID solution reflect a broader trend of agencies building or buying independent rails to bypass competitor-owned infrastructure. In this landscape, The Trade Desk's Unified ID 2.0 (UID2) stands reinforced as the leading open-source, non-proprietary identity standard, supported by strategic partnerships with major holding companies for media execution.</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Concurrently, the economics of retail media clean rooms are polarizing. Amazon is leveraging its massive, free-to-access Amazon Marketing Cloud to drive platform adoption, while monetizing advanced usage through custom monthly subscriptions for premium third-party datasets. Walmart Connect, powered by Luminate (rebranding to Scintilla), is growing at a rate that outpaces Amazon, scaling its offsite capabilities through closed-loop social integrations with Meta via LiveRamp, and dropping its minimum bids to attract mid-market advertisers.</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Ultimately, these developments are converging toward an "agentic" future where AI agents act as active, independent participants in digital commerce. Publicis's concept of co-creating data within clean rooms to train specialized AI agents, combined with Omnicom's real-world execution of direct-to-publisher media buys, highlights the necessity of non-human identity (NHI) protocols. The emergence of protocols like the IETF AgentID standard, OAuth 2.1 with PKCE, SPIFFE, and Ping Identity's GA of "Identity for AI" are establishing the runtime verification systems required to govern this machine-speed commerce. As the measurement and validation partner, Comscore's corporate recapitalization, divestiture of its box office business, and recruitment of AI pioneer Stuart Frankel position the pure-play digital measurement firm to validate these complex identity, attribution, and AI-mediated commerce signals in the years ahead.</w:t>
      </w:r>
    </w:p>
    <w:p w:rsidR="00000000" w:rsidDel="00000000" w:rsidP="00000000" w:rsidRDefault="00000000" w:rsidRPr="00000000" w14:paraId="000000B3">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[DEFM14A] LiveRamp Holdings, Inc. Merger Proxy Statement | RAMP SEC Filing - Stock Titan, https://www.stocktitan.net/sec-filings/RAMP/defm14a-live-ramp-holdings-inc-merger-proxy-statement-cc453adb0cb8.html 2. Publicis to acquire LiveRamp to accelerate data co-creation for smarter agents, https://www.publicisgroupe.com/en/news/press-releases/publicis-to-acquire-liveramp-to-accelerate-data-co-creation-for-smarter-agents 3. SEC Filing | LiveRamp, Inc. - Investor Relations, https://investors.liveramp.com/node/24081/html 4. LiveRamp to join Publicis Groupe in $2.2b data platform deal - MARKETECH APAC, https://marketech-apac.com/liveramp-to-join-publicis-groupe-in-2-2b-data-platform-deal/ 5. LiveRamp CEO dishes on OpenAI partnership, looming Publicis ..., https://www.marketingdive.com/news/liveramp-ceo-dishes-on-openai-partnership-looming-publicis-acquisition/823481/ 6. Publicis Acquires LiveRamp To Advance New Agentic AI Push, https://www.forrester.com/blogs/publicis-acquires-liveramp-to-advance-new-agentic-ai-push/ 7. The Publicis LiveRamp Acquisition: What It Means for Independent Agencies - Resonate, https://www.resonate.com/blog/the-publicis-liveramp-acquistion-what-it-means-for-independent-agencies/ 8. Publicis Just Bought the Field Everyone Plays On. Now What? | by ..., https://medium.com/@alanronis/publicis-just-bought-the-field-everyone-plays-on-now-what-3b687442fee3 9. GML 2026 and Publicis-LiveRamp reshape ad industry in four days - PPC Land, https://ppc.land/gml-2026-and-publicis-liveramp-reshape-ad-industry-in-four-days/ 10. Publicis through the acquisition of LiveRamp accelerates the race for AI agents and opens a new phase of conflict among global holding companies - Media Marketing, https://www.media-marketing.com/en/news/publicis-through-the-acquisition-of-liveramp-accelerates-the-race-for-ai-agents-and-opens-a-new-phase-of-conflict-among-global-holding-companies/ 11. Publicis-LiveRamp: The End Of The Neutral Middle 05/18/2026, https://www.mediapost.com/publications/article/415144/publicis-liveramp-the-end-of-the-neutral-middle.html?edition=142641 12. Publicis and The Trade Desk Reaffirm Shared Commitment to ..., https://www.thetradedesk.com/press-room/publicis-and-the-trade-desk-reaffirm-shared-commitment-to-advertiser-outcomes 13. Xumo Gets Direct With The Trade Desk, https://www.thetradedesk.com/press-room/xumo-gets-direct-with-the-trade-desk 14. Publicis buys LiveRamp for federated future - tipsheet.ai, https://tipsheet.ai/news/publicis-liveramp-federated/ 15. Walmart vs Amazon vs Instacart Attribution: 2026 Deep Dive - Osmos.ai, https://www.osmos.ai/blog/closed-loop-attribution-deep-dive-walmart-amazon-instacart 16. The State of Amazon Advertising in 2026 - Marknology, https://www.marknology.com/blogs/latest-e-commerce-news/state-of-amazon-advertising-2026-trends-costs-whats-next 17. Guide: Amazon Marketing Cloud for DSP Ads | Harvest Group, https://harvestgroup.com/amazon/amazon-marketing-cloud/ 18. Amazon Marketing Cloud: What It Is and Who It's For - Sellers Umbrella, https://sellersumbrella.com/post/amazon-marketing-cloud-guide 19. Amazon Marketing Cloud: Discover advertising insights, https://advertising.amazon.com/solutions/products/amazon-marketing-cloud 20. Amazon Marketing Cloud in 2026: What It Is, When It Pays, and How, https://www.skalestrategy.com/blog/amazon-marketing-cloud-2026 21. Amazon Marketing Cloud (AMC) for Brand-Creator Attribution: A 2026 Playbook - MaverickX, https://maverickx.io/amazon-marketing-cloud-amc-brand-creator-attribution-2026 22. Winning the Long Game: A 2026 Guide to Amazon Marketing Cloud (AMC) and Customer Lifetime ACOS | Stormy AI Blog, https://stormy.ai/blog/amazon-marketing-cloud-strategy-lifetime-acos-guide 23. Walmart Connect Launches Social Ads with Meta: April 2026 - Nova Analytics, https://novadata.io/resources/news/walmart-connect-social-media-ad-center-meta-april-2026 24. Top 3 Amazon &amp; Walmart Advertising Strategies from Q4 2025 - Brandwoven, https://gobrandwoven.com/resources/articles/amazon-walmart-advertising-strategies/ 25. The Top 5 Strategies for Achieving 8-Figure Sales on Amazon and Walmart - Teikametrics, https://www.teikametrics.com/blog/8-figure-strategies-amazon-walmart/ 26. What is AI Agent Authentication? 2026 Guide - Strata.io, https://www.strata.io/glossary/agent-authentication/ 27. Identity for AI Agents &amp; Agentic Auth — 2026 - Identity Challenge Card - Avatier, https://identitychallengecard.avatier.com/en/blog/identity-ai-agents-agentic-authentication-2026 28. draft-gudlab-agentid-protocol-00 - AgentID: An Identity Protocol for Autonomous AI Agents - IETF Datatracker, https://datatracker.ietf.org/doc/draft-gudlab-agentid-protocol/ 29. Ping Identity Defines the Runtime Identity Standard for Autonomous AI - Mar 24, 2026, https://press.pingidentity.com/2026-03-24-Ping-Identity-Defines-the-Runtime-Identity-Standard-for-Autonomous-AI 30. LiveRamp Achieves a 99.5% Match Rate Score on Full PII with Complete Address Data, https://liveramp.com/explainer/identity-graph-match-rate 31. Comscore (SCOR) Stock News &amp; Updates | StockTitan, https://www.stocktitan.net/news/SCOR/ 32. Comscore Names DoubleVerify COO as New CEO - Mission Media, https://missionmedia.asia/comscore-mclaughlin-new-ceo-measurement/ 33. Comscore Announces Appointment of Matt McLaughlin as Chief Executive Officer, https://agilebrandguide.com/comscore-announces-appointment-of-matt-mclaughlin-as-chief-executive-officer/ 34. scor-20260528 - SEC.gov, https://www.sec.gov/Archives/edgar/data/1158172/000115817226000046/scor-20260528.htm 35. Stuart Frankel - Comscore, Inc., https://www.comscore.com/About/Leadership/Stuart-Frankel 36. Comscore: AI assistant mobile use up 107% in 2025 | SCOR Stock, https://www.stocktitan.net/news/SCOR/ai-assistants-head-into-2026-on-a-high-note-comscore-reports-triple-nisjufibniva.html</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