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Direct-to-Consumer Subscription Transaction Intelligence: Corporate Consolidation, Regulatory Tolls, and Product Fusion in the Alternative Data Wallet Layer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modern Direct-to-Consumer (DTC) streaming and media landscape is characterized by a structural withholding of granular subscriber metrics, viewership demographics, and unit economics by major platforms. To counter this information asymmetry, institutional investors and media entities utilize an alternative-data ecosystem divided into specific strata. The "Glass layer" measures hardware-level attention and attention verification via Automatic Content Recognition (ACR) chipsets. The "Shield layer" focuses on media quality, ad delivery verification, and fraud detection. The "Demand layer" tracks downstream digital intent, audience valuation, search volumes, and social media velocity. The "Wallet layer" (Subscriber Transaction Intelligence) serves as the foundational bedrock of ground-truth financial measurement.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Unlike other layers, the Wallet layer isolates the consumer's actual financial commitment by analyzing billing relationships. This layer is constructed by aggregating, anonymizing, and analyzing massive streams of credit and debit card data, direct banking API feeds, and digital invoice tracking. Through these transactional data feeds, financial and competitive intelligence analysts extract cohort survival curves, track plan-mix migrations (such as users moving from premium tiers to cheaper, ad-supported tiers), map cross-platform wallets post-churn, and trace the exact billing trajectories and behavior of "serial churners" over a 12-month period. To maximize predictive accuracy, analysts employ cross-layer triangulation workflows, correlating content demand spikes from the Demand or Glass layers against corresponding subscriber-retention or resubscription curves from the Wallet layer across specific lag windows, while controlling for competitor releases or platform price increases.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alternative transaction intelligence sector is currently navigating a critical structural shift driven by three primary pressures: escalating state-level regulatory mandates, commercial API tolling and data access fees initiated by tier-1 financial institutions, and technical consolidation.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Capitalization, Corporate Governance, and Exit Trajectories of Key Players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competitive landscape of the alternative data Wallet layer is split between scaled, multi-sector horizontal giants and highly specialized, vertical domain experts. Tracking their capital structures and exit trajectories reveals how private equity backing, corporate parent support, and pre-IPO secondary trading are shaping market consolidation.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YipitData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Originally founded in 2010 as a daily-deal aggregator, YipitData pivoted to institutional research in 2013 and has grown into the dominant horizontal player in the alternative data ecosystem. The company’s capitalization has evolved from founder-led, high-margin subscription growth to institutional dominance, driven by major growth rounds and strategic acquisitions :</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2010:</w:t>
      </w:r>
      <w:r w:rsidDel="00000000" w:rsidR="00000000" w:rsidRPr="00000000">
        <w:rPr>
          <w:rtl w:val="0"/>
        </w:rPr>
        <w:t xml:space="preserve"> Founders Vinicius Vacanti and James Moran secured a $1.3 million seed round from angels and venture capitalists to establish the structural foundation of the company.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2011:</w:t>
      </w:r>
      <w:r w:rsidDel="00000000" w:rsidR="00000000" w:rsidRPr="00000000">
        <w:rPr>
          <w:rtl w:val="0"/>
        </w:rPr>
        <w:t xml:space="preserve"> A $6 million Series A round led by RRE Ventures scaled the engineering team and initial technological infrastructure.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2019:</w:t>
      </w:r>
      <w:r w:rsidDel="00000000" w:rsidR="00000000" w:rsidRPr="00000000">
        <w:rPr>
          <w:rtl w:val="0"/>
        </w:rPr>
        <w:t xml:space="preserve"> Norwest Venture Partners injected $175 million in growth equity, valuing the company in the mid-hundreds of millions.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December 2021:</w:t>
      </w:r>
      <w:r w:rsidDel="00000000" w:rsidR="00000000" w:rsidRPr="00000000">
        <w:rPr>
          <w:rtl w:val="0"/>
        </w:rPr>
        <w:t xml:space="preserve"> The Carlyle Group led a $475 million Series E recapitalization (out of a total $587.71 million round), valuing the firm over $1 billion and officially creating a data-intelligence unicorn.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June 2024:</w:t>
      </w:r>
      <w:r w:rsidDel="00000000" w:rsidR="00000000" w:rsidRPr="00000000">
        <w:rPr>
          <w:rtl w:val="0"/>
        </w:rPr>
        <w:t xml:space="preserve"> To optimize capital efficiency and scale operations, YipitData secured a conventional debt facility from CIBC Innovation Banking.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mid-2026, institutional backers control 60% to 75% of total voting power. Board seats are held by Jon Korngold (Global Head of Carlyle Growth Equity) and Parker Barrile (Partner at Norwest Venture Partners) alongside founders Vinicius Vacanti and James Moran, creating a governance mix that pairs founder execution with large-cap private equity oversight. Following the 2023 acquisition of 1010data, which was financed with a mix of cash and equity, former 1010data backers joined the cap table while smaller seed investors were bought out to optimize the cap table. YipitData executed targeted workforce reductions in late 2025 to shift from hypergrowth to margin optimization and enforce operational efficiency.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company is preparing for an exit. Senior hires with public-market experience have been appointed, and while an official S-1 filing has not been publicly registered with the Securities and Exchange Commission, a rumored 2026–2027 IPO or multi-billion dollar exit is actively in the preparation phase. Private shares currently trade on restricted secondary marketplaces such as Hiive, EquityZen, and Notice, though direct share transfers remain subject to company approval and rights of first refusal (ROFR).</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Consumer Edge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Backed by Treville Capital Group, Consumer Edge acts as the primary horizontal challenger to YipitData. The firm relies on direct bank feeds, integrated credit panels, and receipt scraping to map global consumer spending behavior. Consumer Edge significantly changed the competitive dynamic of the Wallet layer by acquiring its direct competitor, Earnest Analytics, in April 2025. This acquisition allowed Consumer Edge to combine its own robust transaction intelligence database with Earnest's specialized consumer spend panels (</w:t>
      </w:r>
      <w:r w:rsidDel="00000000" w:rsidR="00000000" w:rsidRPr="00000000">
        <w:rPr>
          <w:i w:val="1"/>
          <w:iCs w:val="1"/>
          <w:rtl w:val="0"/>
        </w:rPr>
        <w:t xml:space="preserve">Orion</w:t>
      </w:r>
      <w:r w:rsidDel="00000000" w:rsidR="00000000" w:rsidRPr="00000000">
        <w:rPr>
          <w:rtl w:val="0"/>
        </w:rPr>
        <w:t xml:space="preserve"> and </w:t>
      </w:r>
      <w:r w:rsidDel="00000000" w:rsidR="00000000" w:rsidRPr="00000000">
        <w:rPr>
          <w:i w:val="1"/>
          <w:iCs w:val="1"/>
          <w:rtl w:val="0"/>
        </w:rPr>
        <w:t xml:space="preserve">Vela</w:t>
      </w:r>
      <w:r w:rsidDel="00000000" w:rsidR="00000000" w:rsidRPr="00000000">
        <w:rPr>
          <w:rtl w:val="0"/>
        </w:rPr>
        <w:t xml:space="preserve">), alongside </w:t>
      </w:r>
      <w:r w:rsidDel="00000000" w:rsidR="00000000" w:rsidRPr="00000000">
        <w:rPr>
          <w:i w:val="1"/>
          <w:iCs w:val="1"/>
          <w:rtl w:val="0"/>
        </w:rPr>
        <w:t xml:space="preserve">Phoenix Pharmacy Claims</w:t>
      </w:r>
      <w:r w:rsidDel="00000000" w:rsidR="00000000" w:rsidRPr="00000000">
        <w:rPr>
          <w:rtl w:val="0"/>
        </w:rPr>
        <w:t xml:space="preserve"> and </w:t>
      </w:r>
      <w:r w:rsidDel="00000000" w:rsidR="00000000" w:rsidRPr="00000000">
        <w:rPr>
          <w:i w:val="1"/>
          <w:iCs w:val="1"/>
          <w:rtl w:val="0"/>
        </w:rPr>
        <w:t xml:space="preserve">Leo Medical Claims</w:t>
      </w:r>
      <w:r w:rsidDel="00000000" w:rsidR="00000000" w:rsidRPr="00000000">
        <w:rPr>
          <w:rtl w:val="0"/>
        </w:rPr>
        <w:t xml:space="preserve"> databases.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Antenna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Founded in 2019, Antenna is a streaming-specific vertical domain specialist. Its early seed funding was backed by Raine Ventures, followed by a $10 million Series A in February 2022 led by Bertelsmann Digital Media Investments (BDMI) and the Foundry Group, with participation from UTA Ventures and other media-focused venture funds. Unlike its horizontal competitors, Antenna operates with a leaner capitalization structure optimized for enterprise B2B data-as-a-service dashboard licensing to media corporate development teams.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Bloomberg Second Measure and M Science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firms occupy distinct institutional positions. Bloomberg Second Measure operates as a wholly owned subsidiary of Bloomberg LP, following its acquisition in late 2020. It has no independent funding tracks, as its datasets have been fully integrated into the Bloomberg Terminal via the ALTD and ECAN portals.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 Science functions as a quant-focused subsidiary of the publicly traded Jefferies Financial Group Inc. (NYSE: JEF). Backed by Jefferies’ strong corporate balance sheet—which reported robust financial health with revenues reaching $2.21 billion in Q2 fiscal 2026 (up 35% YoY) and net income increasing 157% to $226.2 million—M Science operates without external debt constraints, prioritizing raw, algorithmic data feed delivery for quantitative hedge fund ingestion.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Alternative Data Vendor</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 Institutional Owners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Capital Milestones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Exit / IPO Trajectory</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Data Sourcing Architecture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YipitData</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Carlyle Group, Norwest Venture Partners, CIBC Innovation Banking</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$175M Growth Equity (2019); $475M Series E (Dec 2021); CIBC Debt (June 2024)</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Rumored 2026–2027 IPO or exit process active; private shares trading on secondary marketplaces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owned B2C/B2B panels, card transactions, consumer receipts, and cloud spend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Consumer Edge</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Treville Capital Group</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Acquisition of Earnest Analytics (April 2025)</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Continuing private horizontal consolidation</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bank feeds, card panels, healthcare claims, and receipt scraping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Antenna</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BDMI, Foundry Group, Raine Ventures, UTA Ventures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$10M Series A (Feb 2022)</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Independent vertical growth path</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SVOD-specific digital invoice scraping and opt-in panels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Bloomberg Second Measure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Bloomberg LP (Wholly Owned)</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Acquired in late 2020</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Fully integrated into Bloomberg’s terminal and enterprise data workflow</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Billions of purchases from millions of US consumers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 Science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Jefferies Financial Group Inc. (Wholly Owned)</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Subsidiary of Jefferies</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Wholly integrated quantitative supplier; funded via parent cash flows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Anonymized transaction, web traffic, and algorithmic feeds</w:t>
            </w:r>
          </w:p>
        </w:tc>
      </w:tr>
    </w:tbl>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Tolling, Infrastructure Strain, and the Margin Impact of Bank API Monetization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operational cost structure of the alternative transaction data supply chain has undergone a profound shift, driven by a landmark commercial dispute between tier-1 data holders and financial technology intermediaries.</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JPMorgan Chase Precedent and Commercial API Tolling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financial technology platforms and alternative data aggregators harvested consumer bank account data at no cost. This dynamic changed in July 2025 when JPMorgan Chase (JPMC), the largest financial institution in the United States, sent commercial pricing sheets to major data aggregators (such as Plaid, MX, and Fiserv) and announced plans to charge for consumer-permissioned API access.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JPMorgan Chase justified this fee structure by citing the systemic infrastructure strain and security vulnerabilities caused by automated aggregator background queries. In an internal systems memo, the bank revealed that its servers processed approximately 1.89 billion API requests in June 2025 alone. Strikingly, only 13% of these requests were linked to real-time, customer-initiated actions. The remaining 87% represented automated, recurring background polls conducted by aggregators to update financial panels and cache historical transactional profiles.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September 2025, JPMorgan Chase and Plaid reached a renewed data access agreement. Initial industry estimates suggested Plaid could face up to $300 million in annual fees under the bank's proposed pricing sheets, an amount that would have represented more than 75% of Plaid's 2024 revenue. While the final, highly customized contract details remain confidential, sources familiar with the transaction describe the fee structure as "fractions of a cent per data pull". Crucially, the heaviest fees are levied on payment-related data transfers, shifting the aggregator model from a fixed-cost software architecture to a highly variable-cost API toll system.</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commercial tolling model is spreading across other tier-1 banks. Bank of America, Wells Fargo, and Citigroup have implemented secure data-sharing protocols (APIs) and are migrating aggregators away from legacy, credential-based screen-scraping. For instance, Bank of America scheduled its API migration for early 2026, applying a strict 12-month consent expiration limit to all connected accounts.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Downstream Margin Compression on Wallet-Layer Vendors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Although Plaid publicly committed to absorbing these initial API fees to protect its developers, the long-term economics will inevitably flow downhill. Wallet-layer vendors do not connect directly to banks; they license data feeds from aggregators or buy structured, de-identified transactional panels. As aggregators begin tiering their data packages to recoup bank tolling costs, basic balance checks are priced lower, while the real-time, longitudinal transaction histories required by financial analysts are marked up.</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alternative data vendors like YipitData, Consumer Edge, and Antenna, this commercial model is compressing margins. Historically, data ingestion was a highly scalable, fixed-cost operation. Under the commercial API tolling paradigm, the cost of maintaining expansive, highly refreshed panels scales linearly with background query frequency. This shift forces vendors to optimize query cadences, pulling only essential consumer transaction data to avoid bank tolls, which inherently limits the temporal granularity of survival curves and intraday sales forecasts.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CFPB Section 1033 Regulatory Roadblocks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commercialization of consumer financial data has been accelerated by regulatory blockages at the federal level. The Consumer Financial Protection Bureau’s (CFPB) Personal Financial Data Rights rule, formulated under Section 1033 of the Dodd-Frank Act, was designed to mandate free consumer data portability and restrict banks from charging third parties for data access.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regulatory timeline highlights the legal conflict surrounding this rule :</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October 2024:</w:t>
      </w:r>
      <w:r w:rsidDel="00000000" w:rsidR="00000000" w:rsidRPr="00000000">
        <w:rPr>
          <w:rtl w:val="0"/>
        </w:rPr>
        <w:t xml:space="preserve"> The CFPB finalized the Section 1033 rule, scheduling a phased compliance rollout to begin on April 1, 2026.</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August 2025:</w:t>
      </w:r>
      <w:r w:rsidDel="00000000" w:rsidR="00000000" w:rsidRPr="00000000">
        <w:rPr>
          <w:rtl w:val="0"/>
        </w:rPr>
        <w:t xml:space="preserve"> Facing intense bank lobbying, the CFPB issued an Advanced Notice of Proposed Rulemaking (ANPR) that explicitly reopened the debate on allowing banks to assess fees to deflate the infrastructure costs of automated data requests.</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October 29, 2025:</w:t>
      </w:r>
      <w:r w:rsidDel="00000000" w:rsidR="00000000" w:rsidRPr="00000000">
        <w:rPr>
          <w:rtl w:val="0"/>
        </w:rPr>
        <w:t xml:space="preserve"> Judge Danny Reeves of the Eastern District of Kentucky blocked enforcement of Section 1033 with a preliminary injunction, ruling that the CFPB likely exceeded its statutory authority.</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December 2025:</w:t>
      </w:r>
      <w:r w:rsidDel="00000000" w:rsidR="00000000" w:rsidRPr="00000000">
        <w:rPr>
          <w:rtl w:val="0"/>
        </w:rPr>
        <w:t xml:space="preserve"> The Financial Technology Association (FTA) filed a notice of appeal, but the April 1, 2026 compliance deadline ultimately passed without taking effect.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legal injunction left a regulatory vacuum. By stalling federal consumer-portability mandates, the courts allowed financial institutions to aggressively establish the commercial API pricing precedent that now governs the industry.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Finance Metric</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United States Commercial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European Union Regulatory Architecture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Regulatory Framework</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Litigated under CFPB Section 1033 / Dodd-Frank</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Standardized under PSD2 / PSD3 / PSR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Access Costs</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per-pull API tolls ("fractions of a cent")</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of charge for registered third-party providers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Ingestion Method</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Transitioning from screen scraping to priced FDX APIs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integration with mandatory open-banking bank APIs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Economic Flow-Through</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Variable API tolls compress downstream alternative data margins</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Regulatory costs absorbed by banking institutions as cost of doing business</w:t>
            </w:r>
          </w:p>
        </w:tc>
      </w:tr>
    </w:tbl>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Operational and Statistical Realities of DROP Compliance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federal open-banking regulations are stalled in litigation, state-level privacy mandates have advanced, imposing strict operational requirements on alternative data networks.</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Delete Request and Opt-Out Platform (DROP) Mechanism</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California’s Delete Act (SB 362), signed into law in October 2023, the California Privacy Protection Agency (CPPA / CalPrivacy) established the Data Broker Requests and Opt-out Platform (DROP), which went live for consumer registrations on January 1, 2026. DROP serves as a centralized, "one-stop" deletion mechanism. Rather than contacting hundreds of data brokers individually, a California resident can submit a single, verified request through the platform.</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compliance deadlines and operational mandates are exceptionally strict :</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August 1, 2026:</w:t>
      </w:r>
      <w:r w:rsidDel="00000000" w:rsidR="00000000" w:rsidRPr="00000000">
        <w:rPr>
          <w:rtl w:val="0"/>
        </w:rPr>
        <w:t xml:space="preserve"> Registered data brokers must begin retrieving and processing standing deletion requests through the DROP registry.</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45-Day Query Cycles:</w:t>
      </w:r>
      <w:r w:rsidDel="00000000" w:rsidR="00000000" w:rsidRPr="00000000">
        <w:rPr>
          <w:rtl w:val="0"/>
        </w:rPr>
        <w:t xml:space="preserve"> Data brokers are legally mandated to access the DROP registry at least once every 45 days.</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90-Day Deletion Window:</w:t>
      </w:r>
      <w:r w:rsidDel="00000000" w:rsidR="00000000" w:rsidRPr="00000000">
        <w:rPr>
          <w:rtl w:val="0"/>
        </w:rPr>
        <w:t xml:space="preserve"> Brokers must permanently delete matching consumer data, including any derived inferences, within 90 days of retrieving a DROP request.</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Subsequent Bans:</w:t>
      </w:r>
      <w:r w:rsidDel="00000000" w:rsidR="00000000" w:rsidRPr="00000000">
        <w:rPr>
          <w:rtl w:val="0"/>
        </w:rPr>
        <w:t xml:space="preserve"> Data brokers are permanently prohibited from selling or sharing any new personal information acquired about a matched consumer after a deletion request is processed.</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Independent Auditing:</w:t>
      </w:r>
      <w:r w:rsidDel="00000000" w:rsidR="00000000" w:rsidRPr="00000000">
        <w:rPr>
          <w:rtl w:val="0"/>
        </w:rPr>
        <w:t xml:space="preserve"> Beginning January 1, 2028, data brokers must undergo independent privacy audits every three years, submitting their first audit reports to CalPrivacy by January 1, 2029.</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Non-compliance carries severe financial liabilities: a statutory penalty of $200 per deletion request, per day of failure to act. This penalty structure compounds daily, creating a massive potential financial exposure for alternative data panels managing millions of consumer records.</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Enforcement Actions and Compliance Failures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CalPrivacy’s recently formed Data Broker Enforcement Strike Force has demonstrated strict enforcement of registration mandates, even before the August 1, 2026 DROP deletion deadline. On January 8, 2026, only days after the DROP platform went live for consumers, CalPrivacy issued its first enforcement decisions :</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Rickenbacher Data LLC (d/b/a Datamasters):</w:t>
      </w:r>
      <w:r w:rsidDel="00000000" w:rsidR="00000000" w:rsidRPr="00000000">
        <w:rPr>
          <w:rtl w:val="0"/>
        </w:rPr>
        <w:t xml:space="preserve"> Fined $42,000 for failing to register as a data broker under the Act. Datamasters had bought and resold sensitive demographic, medical, and health-related lists without a direct relationship with the consumers or implementing proper Delete Act compliance policies.</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S&amp;P Global, Inc.:</w:t>
      </w:r>
      <w:r w:rsidDel="00000000" w:rsidR="00000000" w:rsidRPr="00000000">
        <w:rPr>
          <w:rtl w:val="0"/>
        </w:rPr>
        <w:t xml:space="preserve"> Fined $62,000 for failing to register. Although CalPrivacy acknowledged the omission was an administrative oversight, the agency strictly enforced the registration penalty of $200 per day.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Given that the current calendar date is July 7, 2026, the deletion retrieval and processing deadline of August 1, 2026, is in the immediate future. Consequently, no alternative data vendor (such as YipitData, Consumer Edge, or Antenna) has been named in public compliance failures or fined for deletion processing failures. However, the active enforcement actions against S&amp;P Global and legacy data brokers have forced alternative transaction providers to register as data brokers, pay the annual registration fees, and implement matching algorithms to prepare for the August deadline.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Operational Costs and Technical Challenges of Compliance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Operating continuous 45-day query cycles imposes significant structural and administrative overhead. To prevent bulk queues from accumulating and risking compounding daily penalties, legal analysts advise vendors to query the DROP registry on a much more frequent cadence (e.g., weekly or bi-weekly).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DROP request is retrieved, the vendor must execute a matching algorithm. The DROP platform generates deletion requests containing multiple standardized consumer identifiers. Data brokers must select and download the appropriate consumer deletion lists matching the identifiers they store. If a match is verified, the broker must delete :</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raw and normalized historical transaction records associated with that consumer.</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downstream behavioral inferences derived from those transactions.</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Any metadata shared with service providers, requiring the vendor to issue direct, contractually binding deletion requests to all third-party suppliers and sub-contractors.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a query cannot be verified, the regulation requires the broker to process the deletion request as a formal opt-out of the sale or sharing of that consumer's personal information.</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Statistical Degradation of Spend Panels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administrative overhead, DROP compliance poses an threat to alternative transaction data's predictive accuracy. Quantitative modeling relies on longitudinal stability. To track subscription retention, plan-mix migration, and consumer lifetime value, analysts rely on continuous cohorts tracked over years.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consumers utilize DROP to purge their transactional data, they selectively remove nodes from historical panels. By mid-2026, over 215,000 California consumers had registered with DROP. This group is highly non-random, skewing toward tech-savvy, high-earning, and privacy-focused demographics. Removing these individuals introduces systemic demographic bias and degrades the panel's overall weighting.</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demonstrate this degradation mathematically, let S(t) be the survival probability of a subscriber cohort at time t, modeled as: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 = \prod_{i=1}^{t} (1 - \lambda_i)</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\lambda_i is the observed churn rate in interval i. If DROP compliance forces the removal of n consumers from an active cohort panel of size N_t at interval t, the variance of the estimated churn rate \hat{\lambda}_t increases: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\text{Var}(\hat{\lambda}_t) \approx \frac{\lambda_t (1 - \lambda_t)}{N_t - 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As the active panel size N_t is degraded by deletions, the margin of error in predictive modeling for streaming platforms increases, making it much harder for institutional buyers to identify subtle inflections in plan migrations or platform-specific churn.</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Vertical Product Innovation: Deep Dive into Antenna's Subscriber Views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preserve margins under these commercial and regulatory pressures, specialized vendors are shifting away from commoditized horizontal panels toward premium, cross-layer fused products.</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Product Architecture and Fused Sourcing</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Unveiled in October 2025, Antenna's </w:t>
      </w:r>
      <w:r w:rsidDel="00000000" w:rsidR="00000000" w:rsidRPr="00000000">
        <w:rPr>
          <w:b w:val="1"/>
          <w:bCs w:val="1"/>
          <w:rtl w:val="0"/>
        </w:rPr>
        <w:t xml:space="preserve">Subscriber Views</w:t>
      </w:r>
      <w:r w:rsidDel="00000000" w:rsidR="00000000" w:rsidRPr="00000000">
        <w:rPr>
          <w:rtl w:val="0"/>
        </w:rPr>
        <w:t xml:space="preserve"> represents a sophisticated product integration within the alternative media ecosystem. The product successfully bridges two distinct data layers :</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Glass Layer:</w:t>
      </w:r>
      <w:r w:rsidDel="00000000" w:rsidR="00000000" w:rsidRPr="00000000">
        <w:rPr>
          <w:rtl w:val="0"/>
        </w:rPr>
        <w:t xml:space="preserve"> Captures chipset-level Automatic Content Recognition (ACR) viewership and consumption data embedded in millions of connected Smart TVs.</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Wallet Layer:</w:t>
      </w:r>
      <w:r w:rsidDel="00000000" w:rsidR="00000000" w:rsidRPr="00000000">
        <w:rPr>
          <w:rtl w:val="0"/>
        </w:rPr>
        <w:t xml:space="preserve"> Tracks consumer credit/debit transaction profiles and opt-in digital invoice panels.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fuse these disparate datasets at the individual row level without violating privacy protocols, Antenna utilizes a secure identity-resolution framework built on LiveRamp's RampID and The Trade Desk's Unified ID 2.0 (UID2) substrates. By matching a Smart TV's IP address and viewing telemetry against a corresponding household credit card billing profile, Subscriber Views connects content consumption behavior directly to subscription decisions. Media companies can determine not only who watched a title, but exactly what subscription transactions they executed before and after tuning in.</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Case Studies: Linking Content to Churn and Acquisition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cross-layer fusion allows media programmers and corporate development teams to track user lifecycles with high precision. Antenna’s proprietary case studies demonstrate the direct relationship between content releases and subscriber economics :</w:t>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Acquisition Modeling:</w:t>
      </w:r>
      <w:r w:rsidDel="00000000" w:rsidR="00000000" w:rsidRPr="00000000">
        <w:rPr>
          <w:rtl w:val="0"/>
        </w:rPr>
        <w:t xml:space="preserve"> In June 2025, the premiere of the series </w:t>
      </w:r>
      <w:r w:rsidDel="00000000" w:rsidR="00000000" w:rsidRPr="00000000">
        <w:rPr>
          <w:i w:val="1"/>
          <w:iCs w:val="1"/>
          <w:rtl w:val="0"/>
        </w:rPr>
        <w:t xml:space="preserve">Stick</w:t>
      </w:r>
      <w:r w:rsidDel="00000000" w:rsidR="00000000" w:rsidRPr="00000000">
        <w:rPr>
          <w:rtl w:val="0"/>
        </w:rPr>
        <w:t xml:space="preserve"> drove an estimated 33% of all new Apple TV+ premium sign-ups, translating to roughly 700,000 gross subscriber additions.</w:t>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Retention Modeling:</w:t>
      </w:r>
      <w:r w:rsidDel="00000000" w:rsidR="00000000" w:rsidRPr="00000000">
        <w:rPr>
          <w:rtl w:val="0"/>
        </w:rPr>
        <w:t xml:space="preserve"> Subscribers who watched </w:t>
      </w:r>
      <w:r w:rsidDel="00000000" w:rsidR="00000000" w:rsidRPr="00000000">
        <w:rPr>
          <w:i w:val="1"/>
          <w:iCs w:val="1"/>
          <w:rtl w:val="0"/>
        </w:rPr>
        <w:t xml:space="preserve">The Buccaneers</w:t>
      </w:r>
      <w:r w:rsidDel="00000000" w:rsidR="00000000" w:rsidRPr="00000000">
        <w:rPr>
          <w:rtl w:val="0"/>
        </w:rPr>
        <w:t xml:space="preserve"> in June 2025 exhibited a 98% retention rate by late July, compared to a baseline retention rate of just 92% for non-viewing subscribers.</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Customer Lifetime Value (LTV) Optimization:</w:t>
      </w:r>
      <w:r w:rsidDel="00000000" w:rsidR="00000000" w:rsidRPr="00000000">
        <w:rPr>
          <w:rtl w:val="0"/>
        </w:rPr>
        <w:t xml:space="preserve"> Analyzing Max’s promotional annual plan launched around the premiere of </w:t>
      </w:r>
      <w:r w:rsidDel="00000000" w:rsidR="00000000" w:rsidRPr="00000000">
        <w:rPr>
          <w:i w:val="1"/>
          <w:iCs w:val="1"/>
          <w:rtl w:val="0"/>
        </w:rPr>
        <w:t xml:space="preserve">House of the Dragon</w:t>
      </w:r>
      <w:r w:rsidDel="00000000" w:rsidR="00000000" w:rsidRPr="00000000">
        <w:rPr>
          <w:rtl w:val="0"/>
        </w:rPr>
        <w:t xml:space="preserve"> (reflecting a 40% monthly discount), Antenna calculated that promotional annual plan subscribers achieved an average 18-month CLTV of $186.71—which was 52% higher than the 18-month Monthly plan CLTV benchmark of $122.48. This proves that deeper initial promotional discounts can structurally enhance long-term cohort value by locking in annual plans.</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Pricing Tiers and Adoption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Pricing for Subscriber Views is structured as an enterprise-wide annual platform subscription. License fees scale based on the volume of tracking categories, estimated at mid-six-to-seven-figure commitments. Public adopters include major streaming corporate development groups, theatrical studios, and JIC-certified (Joint Industry Committee) agency buyers seeking to validate cross-currency advertising attribution.</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Competitive Positioning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Horizontal leaders such as YipitData and Consumer Edge do not offer a directly comparable title-level fused product. While both horizontal giants operate massive transaction panels, their databases are built on broad, multi-sector consumer spending schemas. Their data pipelines are structured to track aggregate corporate merchant categories (e.g., total spend at Netflix vs. Disney+) rather than resolving row-level identities to match third-party ACR viewership logs with title-level SVOD release windows. This structural specialization preserves Antenna's moat within the media intelligence vertical.</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Post-Acquisition Integration Realities: Consumer Edge and Earnest Analytics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key development in alternative data consolidation occurred in April 2025 when Consumer Edge completed its acquisition of Earnest Analytics. Fusing transaction panels with healthcare data was expected to create a comprehensive consumer dataset.</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Dataset Alignment and Product Silos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acquisition brought two distinct analytical suites under a single parent :</w:t>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Consumer Edge:</w:t>
      </w:r>
      <w:r w:rsidDel="00000000" w:rsidR="00000000" w:rsidRPr="00000000">
        <w:rPr>
          <w:rtl w:val="0"/>
        </w:rPr>
        <w:t xml:space="preserve"> Robust global credit/debit card transaction intelligence, integrated spend panels, and web receipt scraping.</w:t>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Earnest Analytics:</w:t>
      </w:r>
      <w:r w:rsidDel="00000000" w:rsidR="00000000" w:rsidRPr="00000000">
        <w:rPr>
          <w:rtl w:val="0"/>
        </w:rPr>
        <w:t xml:space="preserve"> Specialized transaction databases (</w:t>
      </w:r>
      <w:r w:rsidDel="00000000" w:rsidR="00000000" w:rsidRPr="00000000">
        <w:rPr>
          <w:i w:val="1"/>
          <w:iCs w:val="1"/>
          <w:rtl w:val="0"/>
        </w:rPr>
        <w:t xml:space="preserve">Orion</w:t>
      </w:r>
      <w:r w:rsidDel="00000000" w:rsidR="00000000" w:rsidRPr="00000000">
        <w:rPr>
          <w:rtl w:val="0"/>
        </w:rPr>
        <w:t xml:space="preserve"> and </w:t>
      </w:r>
      <w:r w:rsidDel="00000000" w:rsidR="00000000" w:rsidRPr="00000000">
        <w:rPr>
          <w:i w:val="1"/>
          <w:iCs w:val="1"/>
          <w:rtl w:val="0"/>
        </w:rPr>
        <w:t xml:space="preserve">Vela</w:t>
      </w:r>
      <w:r w:rsidDel="00000000" w:rsidR="00000000" w:rsidRPr="00000000">
        <w:rPr>
          <w:rtl w:val="0"/>
        </w:rPr>
        <w:t xml:space="preserve"> panels), alongside medical databases including </w:t>
      </w:r>
      <w:r w:rsidDel="00000000" w:rsidR="00000000" w:rsidRPr="00000000">
        <w:rPr>
          <w:i w:val="1"/>
          <w:iCs w:val="1"/>
          <w:rtl w:val="0"/>
        </w:rPr>
        <w:t xml:space="preserve">Phoenix Pharmacy Claims</w:t>
      </w:r>
      <w:r w:rsidDel="00000000" w:rsidR="00000000" w:rsidRPr="00000000">
        <w:rPr>
          <w:rtl w:val="0"/>
        </w:rPr>
        <w:t xml:space="preserve"> and </w:t>
      </w:r>
      <w:r w:rsidDel="00000000" w:rsidR="00000000" w:rsidRPr="00000000">
        <w:rPr>
          <w:i w:val="1"/>
          <w:iCs w:val="1"/>
          <w:rtl w:val="0"/>
        </w:rPr>
        <w:t xml:space="preserve">Leo Medical Claims</w:t>
      </w:r>
      <w:r w:rsidDel="00000000" w:rsidR="00000000" w:rsidRPr="00000000">
        <w:rPr>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integration's strategic goal was to map the longitudinal healthcare patient journeys of approximately 90 million domestic patients against discretionary credit card spending behavior. This would allow analysts to track macroeconomic shifts, such as how rising non-discretionary medical bills or prescription pharmacy expenses influence discretionary digital subscription budgets.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year-plus post-acquisition, a unified, mathematically fused single database does not yet exist. The technical capability for multi-source fusion was proven in March 2025 with the launch of "Click" (which successfully fused web-traffic intent with downstream consumer spending). Internal communications from late 2025 and early 2026 refer to ongoing "integration-led stretch assignments".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external data procurement platforms (including Neudata and institutional alternative data databases) continue to list Consumer Edge and Earnest Analytics as separate, distinct practice areas. The datasets are sold as complementary, highly correlated modules rather than a single, row-level integrated feed.</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Structural Roadblocks to Claims-Spend Fusion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delay in shipping an integrated transaction-healthcare product is due to technical hurdles:</w:t>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HIPAA and Patient De-identification Protocols:</w:t>
      </w:r>
      <w:r w:rsidDel="00000000" w:rsidR="00000000" w:rsidRPr="00000000">
        <w:rPr>
          <w:rtl w:val="0"/>
        </w:rPr>
        <w:t xml:space="preserve"> Financial transaction panels track consumers using anonymized card hashes and merchant category codes (MCC). Medical and pharmacy claims, however, are governed by strict HIPAA guidelines. To legally license claims datasets, vendors must de-identify patients using specialized tokenization protocols (such as those provided by Datavant). These de-identification tokens often strip the temporal and geographic granularity needed to resolve a patient's identity back to a specific credit card transaction swipe without violating federal privacy laws.</w:t>
      </w:r>
    </w:p>
    <w:p w:rsidR="00000000" w:rsidDel="00000000" w:rsidP="00000000" w:rsidRDefault="00000000" w:rsidRPr="00000000" w14:paraId="0000009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Schema Incompatibilities:</w:t>
      </w:r>
      <w:r w:rsidDel="00000000" w:rsidR="00000000" w:rsidRPr="00000000">
        <w:rPr>
          <w:rtl w:val="0"/>
        </w:rPr>
        <w:t xml:space="preserve"> Credit card data is structured chronologically by timestamp, merchant location, and transaction amount. Medical and pharmacy claims are structured around complex clinical taxonomies, including ICD-10 diagnostic codes, National Drug Codes (NDC), and Current Procedural Terminology (CPT) codes. Fusing these schemas requires complex mapping tables and processing overhead, and the statistical correlation is often too sparse to yield reliable row-level predictive models for institutional research.</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Defensive Architecture: The Pivot to Zero-Party Panels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response to variable bank API tolls, DROP deletion mandates, and litigation risks surrounding Automatic Content Recognition (ACR) and video pixel tracking under the Video Privacy Protection Act (VPPA), the alternative data ecosystem is undergoing a technical transition.</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Transition to Zero-Party and Incentivized Panel Architectures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alternative data collection models relied on passive ingestion—scraping digital invoices, utilizing indirect payment card feeds, or tracking unconsented software development kit (SDK) locations. To insulate themselves from legal liability, alternative data vendors are pivoting toward zero-party, incentivized panel architectures.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a zero-party architecture, consumers share their personal, financial, and viewing data with a platform in exchange for direct financial rewards, cash-back incentives, or loyalty points. This consent model provides crucial structural immunities:</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Exemption from DROP Deletion Mandates:</w:t>
      </w:r>
      <w:r w:rsidDel="00000000" w:rsidR="00000000" w:rsidRPr="00000000">
        <w:rPr>
          <w:rtl w:val="0"/>
        </w:rPr>
        <w:t xml:space="preserve"> California's Delete Act defines a "data broker" as a business that collects and sells the personal information of a consumer with whom the business </w:t>
      </w:r>
      <w:r w:rsidDel="00000000" w:rsidR="00000000" w:rsidRPr="00000000">
        <w:rPr>
          <w:i w:val="1"/>
          <w:iCs w:val="1"/>
          <w:rtl w:val="0"/>
        </w:rPr>
        <w:t xml:space="preserve">does not have a direct relationship</w:t>
      </w:r>
      <w:r w:rsidDel="00000000" w:rsidR="00000000" w:rsidRPr="00000000">
        <w:rPr>
          <w:rtl w:val="0"/>
        </w:rPr>
        <w:t xml:space="preserve">. By establishing a direct, consumer-permissioned interface (such as a dedicated cash-back app or a direct portal link), the alternative data vendor establishes a "direct relationship". This excludes them from DROP’s universal deletion requirements, protecting the longitudinal integrity of their panels.</w:t>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VPPA Litigation Immunity:</w:t>
      </w:r>
      <w:r w:rsidDel="00000000" w:rsidR="00000000" w:rsidRPr="00000000">
        <w:rPr>
          <w:rtl w:val="0"/>
        </w:rPr>
        <w:t xml:space="preserve"> The Video Privacy Protection Act prohibits the unauthorized disclosure of personally identifiable information (PII) linked to specific video viewing history. While plaintiffs' attorneys are actively weaponizing this 1988 statute against streaming platforms and publishers utilizing standard tracking pixels (such as the Meta Pixel) to share viewing histories with ad networks—resulting in massive class-action risk and circuit splits—explicit consent bypasses these liabilities. Explicit consumer consent agreements protect alternative data panels from pixel tracking litigation and Smart TV manufacturer class-actions, which carry remedies of $2,500 per violation.</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Vendor Implementations of Owned-and-Operated Networks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no pure-play zero-party vendors have achieved market dominance, horizontal incumbents are rebuilding their backend data pipelines around these permissioned frameworks.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YipitData has structured its data acquisition around a proprietary data network that combines 100% owned-and-operated B2C and B2B panels with 40+ always-on direct feeds. By owning the consumer-facing panel applications, YipitData controls direct consumer relationships, insulating its core datasets from third-party aggregator price increases and state-level deletion platforms.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Similarly, Antenna's core SVOD intelligence is built on an opt-in consumer panel combined with direct digital invoice tracking. This ensures that its cohort survival models and serial-churner analyses are grounded in explicit, contractually protected consumer consent, mitigating the risk of regulatory-driven panel erosion.</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Consolidation and Market Restructuring Events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shifting architectural demands have accelerated market-wide restructuring :</w:t>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Take-Private Transactions:</w:t>
      </w:r>
      <w:r w:rsidDel="00000000" w:rsidR="00000000" w:rsidRPr="00000000">
        <w:rPr>
          <w:rtl w:val="0"/>
        </w:rPr>
        <w:t xml:space="preserve"> In December 2025, private equity firm Novacap acquired verification giant Integral Ad Science (IAS) for approximately $1.9 billion, taking the firm private and delisting it from the Nasdaq.</w:t>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Mid-Market CTV Consolidations:</w:t>
      </w:r>
      <w:r w:rsidDel="00000000" w:rsidR="00000000" w:rsidRPr="00000000">
        <w:rPr>
          <w:rtl w:val="0"/>
        </w:rPr>
        <w:t xml:space="preserve"> In November 2024, Mediaocean acquired Innovid (an independent CTV ad-delivery, personalization, and measurement platform) at $3.15 per share, representing an enterprise value of roughly $500 million.</w:t>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Divestitures and Debt Reductions:</w:t>
      </w:r>
      <w:r w:rsidDel="00000000" w:rsidR="00000000" w:rsidRPr="00000000">
        <w:rPr>
          <w:rtl w:val="0"/>
        </w:rPr>
        <w:t xml:space="preserve"> On May 27, 2026, Comscore sold its Movies (box office) division to private equity group Advaya Capital for $70 million. It immediately deployed $40.1 million of the proceeds to retire its outstanding Blue Torch Finance credit facility.</w:t>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Pure-Play Acquisitions:</w:t>
      </w:r>
      <w:r w:rsidDel="00000000" w:rsidR="00000000" w:rsidRPr="00000000">
        <w:rPr>
          <w:rtl w:val="0"/>
        </w:rPr>
        <w:t xml:space="preserve"> In May 2026, Ampere Analysis acquired PlumResearch to integrate device-agnostic viewing tracking with market sizing models.</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Synthesized Conclusions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alternative data Wallet layer is at a transition point where raw data quantity is yielding to compliant collection and cross-layer fusion. As the commercial precedent of bank API monetization spreads, the era of free, passive open banking is drawing to a close, replaced by a structured, variable-cost utility model. Simultaneously, state privacy enforcement via CalPrivacy’s DROP platform is penalizing non-compliant brokers, driving a shift toward permissioned, zero-party consumer panels.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this landscape, specialized vertical innovation holds a premium. Antenna’s Subscriber Views demonstrates the massive enterprise demand for fused attention and transaction datasets. The inability of horizontal players to quickly match these proprietary media integrations highlights that domain-specific expertise remains a powerful barrier to entry.</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Meanwhile, the technical friction complicating Consumer Edge’s integration of Earnest Analytics shows that merging distinct, highly regulated datasets is an ongoing challenge. As YipitData moves closer to its projected 2026–2027 liquidity event, the premium placed on compliance, technical integration, and data exclusivity will ultimately dictate the valuation of transaction intelligence platforms in the institutional market.</w:t>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Who Owns YipitData Company? – businessmodelcanvastemplate.com, https://businessmodelcanvastemplate.com/blogs/owners/yipitdata-who-owns 2. YipitData Stock | Hiive Price $42.61 | Invest or Sell, https://www.hiive.com/securities/yipitdata-stock 3. YipitData Stock | Valuation, Funding, Investors - Notice.co, https://notice.co/c/yipitdata 4. Invest In YipitData Stock | Buy Pre-IPO Shares - EquityZen, https://equityzen.com/company/yipitdata/ 5. Consumer Edge: Home, https://www.consumeredge.com/ 6. Consumer Edge Acquires Earnest Analytics - PrivSource, https://www.privsource.com/acquisitions/deal/consumer-edge-acquires-earnest-analytics-ArSN6L 7. Senior Data Engineer at ANTENNA - Startup Jobs, https://startup.jobs/senior-data-engineer-antenna-7946722 8. Bloomberg Second Measure 2026 Company Profile: Valuation, Investors, Acquisition | PitchBook, https://pitchbook.com/profiles/company/120989-35 9. Bloomberg Second Measure - Unlock the power of transaction data, https://secondmeasure.com/ 10. Bloomberg Terminal Alternative: Top 10 Platforms for 2026 - Shiny, https://useshiny.com/blog/bloomberg-terminal-alternative/ 11. About Us - M Science, https://mscience.com/about/ 12. JPMorgan Chase Data Fees: SME Impact Explained - Fiskl Blog, https://fiskl.com/blog/open-finance/jpmorgan-chase-data-fees-plaid/ 13. JPMorgan to Charge Fintech Middlemen for Customer Data Access - Humans of Globe, https://humansofglobe.com/jpmorgan-to-charge-fintech-middlemen-for-customer-data-access/ 14. JPMorgan Chase to Charge Data Aggregators for Consumer Data Access: What It Means for US Open Banking - Finovate, https://finovate.com/jpmorgan-chase-to-charge-data-aggregators-for-consumer-data-access-what-it-means-for-us-open-banking/ 15. Why JPMorgan's Decision to Monetize Data Is a Big Deal - FinTechtris, https://www.fintechtris.com/blog/why-jwhy-jpmorgan-shift-to-monetize-data-is-a-big-deal 16. What's going on in Open Banking? - Tearsheet, https://tearsheet.co/who-owns-the-customer/whats-going-on-in-open-banking/ 17. Plaid Agrees to Pay JPMorgan Chase Fees to Access Data - PaymentsJournal, https://www.paymentsjournal.com/plaid-agrees-to-pay-jpmorgan-chase-fees-to-access-data/ 18. Open Banking Data Access Fees: JPMorgan, Plaid &amp; the CFPB Fee Question, https://www.openbankingtracker.com/guides/open-banking-data-access-fees 19. JPMorganChase and Plaid announce an extension to their data access agreement for sharing of consumer permissioned data, https://www.jpmorganchase.com/newsroom/press-releases/2025/jpmc-plaid-renewed-data-access-agreement 20. 2025 - JPMorgan Chase, https://www.jpmorganchase.com/newsroom/press-releases/2025 21. November 19, 2025 The Honorable Russell Vought Acting Director Consumer Financial Protection Bureau 1700 G Street NW Washington,, https://www.banking.senate.gov/imo/media/doc/2025.11.19%20Letter%20to%20Vought%20re%20Rule%201033.pdf 22. JPMorgan says fintech middlemen like Plaid are 'massively taxing' its systems with unnecessary pings : r/copilotmoney - Reddit, https://www.reddit.com/r/copilotmoney/comments/1mcezk6/jpmorgan_says_fintech_middlemen_like_plaid_are/ 23. Third-party access - Bank of America, https://secure.bankofamerica.com/auth/security-center/third-party-access/ 24. Changelog | Plaid Docs, https://plaid.com/docs/changelog/ 25. Alternative Data for Hedge Funds: A Practical Guide (2026) - Forage AI, https://forage.ai/blog/alternative-data-for-hedge-funds/ 26. Delete Act - Wikipedia, https://en.wikipedia.org/wiki/Delete_Act 27. Is Your Business a “Data Broker”?: California's DROP Goes Live, and CALPrivacy Continues to Enforce Delete Act | News &amp; Events - Clark Hill, https://www.clarkhill.com/news-events/news/is-your-business-a-data-broker-californias-drop-goes-live-and-calprivacy-continues-to-enforce-delete-act/ 28. Analyzing the California Delete Act Regulations | Privacy + Cyber + AI, https://www.troutmanprivacy.com/2025/12/analyzing-the-california-delete-act-regulations/ 29. California Delete Act Imposes New Obligations on Data Brokers | Privacy World, https://www.privacyworld.blog/2023/12/california-delete-act-imposes-new-obligations-on-data-brokers/ 30. Economic &amp; Market Outlook—2026 &amp; Beyond - Silvercrest Asset Management Group, https://www.silvercrestgroup.com/economic-market-outlook-2026-beyond/ 31. SUBSCRIPTIONS, https://cdn.prod.website-files.com/6756b521db09e280168a4cf3/6925b602f1509868191926f9_Antenna%20x%20State%20of%20Subscriptions%20-%20Sports%20and%20Streaming%202025.pdf 32. Understanding The Relationship Between Annual Plans And Promotions - Antenna, https://www.antenna.live/insights/understanding-the-relationship-between-annual-plans-and-promotions 33. Zero-Party Data Strategy: Collecting Customer Insights Without Third, https://www.brandbutter.ca/insights/zero-party-data-strategy 34. YipitData: Market Intelligence for leading brands and investors, https://www.yipitdata.com/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