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Institutional-Grade Research Report: The Programmatic Shield Layer in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the Shield Layer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digital advertising ecosystem operates on a highly complex, fragmented, and automated supply chain, facilitating the real-time buying and selling of media impressions across the open internet, social walled gardens, and Connected TV (CTV) environments. Within this programmatic infrastructure, the "Shield Layer" functions as an absolutely critical, non-negotiable safeguard. Operating entirely distinct from the Demand and Valuation layers—which are responsible for determining whether a human audience engaged with an advertisement or found it interesting—the Shield Layer serves a more foundational purpose. Its primary mandate is to verify that a programmatic impression was actually delivered to a genuine human user, rather than a bot network, and that the impression was rendered in a brand-safe, viewable environment on a legitimate publisher domain. In essence, the Shield Layer acts as the institutional toll booth for advertising spend, authenticating the fundamental reality of the transaction before qualitative metrics can even be considered.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Shield Layer has been characterized by a highly consolidated market structure, effectively operating as a duopoly dominated by two primary entities: DoubleVerify (NYSE: DV) and Integral Ad Science (IAS). These organizations built immense technological moats through years of deep integration with Demand-Side Platforms (DSPs), Supply-Side Platforms (SSPs), and the major walled gardens, establishing themselves as the default verification standards mandated by the world's largest holding companies and enterprise advertisers. However, as of mid-2026, the structural integrity and competitive dynamics of this duopoly have undergone a profound transformation.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has been fundamentally reshaped by a series of cascading events, beginning with the privatization of Integral Ad Science by the private equity firm Novacap in late 2025, an event that removed a key public proxy from the market and forced a radical operational restructuring within the company. Simultaneously, DoubleVerify has been left to absorb the entirety of public market sentiment, balancing impressive top-line growth and artificial intelligence innovations against emerging concerns regarding fee compression and cash flow timing. Furthermore, the technological landscape has grown exponentially more hostile. The democratization of generative artificial intelligence has armed fraudulent actors with the tools necessary to scale their operations by orders of magnitude, precipitating a massive surge in sophisticated invalid traffic (SIVT) and spoofing attacks, particularly within the high-CPM (Cost Per Mille) environment of Connected TV.</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examines the current state of the programmatic Shield Layer in 2026. It provides an exhaustive analysis of the Novacap acquisition of IAS and its resulting operational shifts, evaluates DoubleVerify's financial delivery and forward-looking guidance, assesses the credible threats of disintermediation from hyperscalers and agile challengers like Peer39, deconstructs the mechanics of AI-driven CTV fraud, and explores the systemic misalignment of incentives that drives the persistent advertiser adoption gap regarding fraud verification metrics.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Privatization and Restructuring of Integral Ad Science (IAS)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Mechanics of the Novacap Take-Private Transaction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equilibrium of the Shield Layer was permanently altered on December 23, 2025, when Integral Ad Science (formerly Nasdaq: IAS) successfully closed its acquisition by Novacap, a leading North American private equity firm with over $10 billion in assets under management. The transaction was executed as an all-cash definitive agreement that valued the verification vendor at approximately $1.9 billion on an enterprise basis, with an equity value frequently cited at $1.6 billion. Under the terms of the merger, which was unanimously approved by the IAS Board of Directors and consented to by majority shareholders, Novacap acquired all outstanding shares of IAS common stock for $10.30 per share. This purchase price represented a 22% premium over the company's closing share price on September 23, 2025, the final full trading day prior to the public announcement of the acquisition.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engineering behind the buyout reflects standard private equity capitalization strategies. Affiliates of Novacap, operating under the entity Igloo Group Parent, Inc. and its subsidiary Merger Sub, secured up to $857.8 million in equity commitments. This equity was paired with substantial debt financing, comprising a $1.0 billion term loan and a $150 million revolving credit facility, which was structured in conjunction with a new Credit Agreement with the Royal Bank of Canada. The consummation of this new financing allowed Novacap to terminate IAS's prior credit facilities, releasing associated liens and guarantees, and formally transitioning the entity into a wholly owned subsidiary of the parent group.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closure of the deal triggered a complete change in control. Prior to the market open on December 23, 2025, IAS stock was halted on the Nasdaq, and by December 24, the suspension was made effective, initiating the process of delisting and deregistering the company from SEC reporting requirements. This transaction also marked the definitive exit of Vista Equity Partners, the technology-focused investment firm that had previously acquired a majority stake in IAS in 2018 and subsequently navigated the company through its 2021 initial public offering. Vista's entities held over 65 million shares at the time of the transaction, which were automatically canceled and converted into the right to receive the $10.30 cash consideration, cleanly winding down their investment. A network of elite advisory firms facilitated the transaction, with Jefferies LLC and Kirkland &amp; Ellis advising IAS, while Evercore and Willkie Farr &amp; Gallagher provided financial and legal counsel to Novacap.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Leadership Overhaul and Organizational Realignment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publicly traded entity subjected to the relentless scrutiny of quarterly earnings calls to a private equity-backed portfolio company fundamentally alters an organization's operational mandate. For IAS, going private provides the critical breathing room required to execute high-friction technological rebuilds—particularly the integration of AI-first infrastructure—without suffering immediate market capitalization penalties for short-term margin contraction. However, it also introduces the stringent financial discipline and aggressive restructuring typical of private equity sponsorships.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transition, Novacap has orchestrated a comprehensive overhaul of the IAS executive leadership team, installing veterans with deep operational and financial restructuring experience. While Lisa Utzschneider, who has led the company since 2019, remains in her position as Chief Executive Officer, the surrounding C-suite has been systematically rebuilt throughout late 2024 and 2025. Utzschneider's retention was secured through a specialized bonus agreement valued at $4.0 million, subject to service-based vesting, ensuring leadership continuity during the crucial integration phase.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appointments reflect Novacap's priorities regarding commercial execution, product innovation, and financial efficiency.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Appointment Date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and Strategic Mandate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Lisa Utzschneider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Executive Officer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Retained (Joined 2019)</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Yahoo CRO and Amazon VP. Mandated to maintain overarching strategic continuity, enterprise client relationships, and steer the "AI-first" transition.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Alpana Wegner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Financial Officer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2025</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Replaced Interim CFO Jill Putman. Former CFO of Secureworks and Benefitfocus. Mandated to drive financial discipline, margin expansion, and execute potential future M&amp;A strategies.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Marc Grabowski</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Operating Officer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16, 2024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Global VP of Oracle Advertising. Tasked with overseeing the global commercial organization, focusing on customer success, business strategy, and mitigating churn.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Srishti Gupta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Product Officer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16, 2024</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CPO at Rokt. Mandated to lead product strategy and go-to-market initiatives, heavily focusing on emerging channels like CTV and retail media.</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Data Source: Integral Ad Science Corporate Announcements and SEC Filings.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appointment of Alpana Wegner is particularly illuminating regarding Novacap's strategy. Wegner brings extensive experience in financial planning and analysis (FP&amp;A) and mergers and acquisitions (M&amp;A) from her tenure at Secureworks, where she executed a successful business transformation strategy leading up to the sale of the company. Her installation suggests that IAS is actively preparing to optimize its cost structure and potentially serve as a platform for inorganic growth through strategic roll-ups. Similarly, the recruitment of Marc Grabowski from Oracle Advertising—following Oracle's broader retreat from the ad-tech space—brings deep experience in managing legacy verification products (like Moat and Grapeshot) while navigating complex commercial integrations.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Culturally and operationally, the cadence of change under Novacap has been rapid. Industry perception and employee feedback platforms indicate that the privatization process has introduced organizational friction. Observations point to localized restructuring, tighter cost controls, and shifting internal priorities as the company aligns with its new private equity mandate. Compensation structures have also been altered; with the cessation of public trading, unvested Restricted Stock Units (RSUs) were converted into contingent cash awards that retain original vesting schedules, shifting the incentive model away from public equity upside. These dynamics suggest a transitional period where IAS must balance rigorous financial discipline against the necessity of retaining elite engineering talent to compete in the AI-driven verification market.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Repositioning and Future Liquidity Scenarios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private entity, IAS's corporate messaging emphasizes acceleration and innovation. CEO Lisa Utzschneider has publicly outlined the company's 2026 priorities, which center on advancing AI-powered innovation, expanding measurement capabilities across high-growth global markets and emerging digital channels, and elevating the overarching standards of trust and transparency. The explicit focus is on developing "responsible AI solutions" that deliver actionable insights at scale, particularly in social media and Connected TV.</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analyzing the broader Novacap portfolio reveals potential strategic synergies that extend beyond organic product development. Novacap possesses a robust and expanding footprint in the digital infrastructure and advertising technology sectors. In 2023, the firm acquired Cadent, a convergent TV specialist, for $600 million. Following that acquisition, Novacap demonstrated its willingness to support aggressive add-on investments, backing Cadent's $324 million acquisition of the machine-learning ad-tech firm AdTheorent in 2024.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IAS currently operates as an independent platform, the overarching private equity ownership creates an environment ripe for strategic integration. The combination of deterministic identity mapping, advanced media buying capabilities (via Cadent and AdTheorent), and media quality verification (via IAS) could hypothetically enable Novacap to construct a vertically integrated, highly defensible proprietary ecosystem. Such an ecosystem could offer advertisers a closed-loop solution that promises guaranteed safe, optimized, and verified media execution.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Regarding the potential for a future re-IPO or strategic sale, evidence suggests that 2026 is far too early for a liquidity event. Private equity holding periods traditionally span three to five years, allowing the sponsor sufficient time to extract operational efficiencies, pay down acquisition debt, and scale the business. Novacap's immediate operational focus is likely centered on servicing the $1.0 billion term loan incurred during the buyout, expanding adjusted EBITDA margins, and potentially utilizing IAS's cash flow to acquire distressed or niche verification assets. A return to the public markets or a sale to a larger strategic buyer (such as a telecommunications conglomerate or a massive enterprise software provider) is highly unlikely before 2028 or 2029, dependent upon the successful execution of its AI integration and margin expansion strategies.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DoubleVerify’s Market Dominance and Financial Trajectory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Integral Ad Science retreating into the private markets, DoubleVerify (NYSE: DV) has emerged as the sole pure-play public proxy for the programmatic Shield Layer. Consequently, every financial metric, product announcement, and earnings report from DoubleVerify is scrutinized by analysts as a barometer for the entire media verification industry. The company's performance in early 2026 demonstrates the fundamental resilience of its core business model, punctuated by successful product-led growth in emerging channels, though it is not immune to macroeconomic pressures and the structural challenges of fee compression.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First Quarter 2026 Delivery: Revenue Growth and Margin Expansion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announced its first-quarter 2026 financial results on May 6, 2026, delivering steady, double-digit top-line growth that met Wall Street expectations. Total revenue for the quarter reached $180.8 million, representing a 10% year-over-year increase compared to the $164 million generated in Q1 2025. This revenue base is heavily weighted toward advertiser demand, which accounts for 90% of the total revenue, while the remaining 10% is derived from supply-side publisher tools.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revenue expansion was broad-based across DoubleVerify's three primary business segments: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Activation Revenue:</w:t>
      </w:r>
      <w:r w:rsidDel="00000000" w:rsidR="00000000" w:rsidRPr="00000000">
        <w:rPr>
          <w:rtl w:val="0"/>
        </w:rPr>
        <w:t xml:space="preserve"> Generated $100.5 million, a 6% year-over-year increase. This segment encompasses pre-bid targeting, contextual avoidance, and programmatic optimization tools utilized by advertisers before an impression is purchased.</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Measurement Revenue:</w:t>
      </w:r>
      <w:r w:rsidDel="00000000" w:rsidR="00000000" w:rsidRPr="00000000">
        <w:rPr>
          <w:rtl w:val="0"/>
        </w:rPr>
        <w:t xml:space="preserve"> Generated $61.8 million, a robust 16% year-over-year increase. This segment covers post-bid verification and analytics, confirming that the purchased impressions met the required standards of viewability and safety. The growth here was significantly bolstered by international measurement revenue, which grew 18% and now comprises 27% of the measurement segment.</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Supply-Side Revenue:</w:t>
      </w:r>
      <w:r w:rsidDel="00000000" w:rsidR="00000000" w:rsidRPr="00000000">
        <w:rPr>
          <w:rtl w:val="0"/>
        </w:rPr>
        <w:t xml:space="preserve"> Generated $18.5 million, up 12% year-over-year, driven by publishers adopting DV's tools to yield-optimize their inventory and ensure compliance with buyer standards.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operational level, DoubleVerify demonstrated exceptional profitability and operating leverage. The company achieved an Adjusted EBITDA of $55.2 million, translating to a highly lucrative 31% Adjusted EBITDA margin. This represents a significant 400 basis point expansion compared to the 27% margin recorded in the prior-year quarter. Net income also more than doubled, reaching $6.4 million compared to $2.4 million in Q1 2025. Management explicitly attributed this margin expansion to "AI-fueled operational efficiencies," highlighting that total expenses across product development, sales and marketing, and general and administrative (G&amp;A) functions increased by only 2%, demonstrating massive productivity gains relative to the 10% revenue growth.</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Unit Economics Dilemma: Volume Growth vs. Fee Compression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strong headline figures, a deeper analysis of DoubleVerify's unit economics reveals the structural challenges inherent in the verification sector. The company's growth is driven by the volume of Media Transactions Measured (MTM). In Q1 2026, MTM grew by 12% year-over-year, reflecting successful land-and-expand strategies, a 77% greenfield win ratio in non-competitive solution areas, and the onboarding of large global enterprise customers (with over 340 advertisers now generating more than $200,000 annually).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volume growth was partially offset by a 4% decline in Measured Transaction Fees (MTF)—the actual price DoubleVerify is able to charge per thousand impressions. This dynamic indicates a degree of fee compression in the market. As programmatic volumes scale massively, particularly in lower-cost environments like mobile web and display (which still account for roughly two-thirds of the impressions DV engages with), massive enterprise clients leverage their scale to demand volume discounts. Furthermore, as basic verification becomes commoditized, vendors must lower fees on legacy products to maintain market share. This compression necessitates that DoubleVerify rapidly innovate and up-sell clients into premium, higher-fee AI and optimization products to protect its blended yield.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dynamic, alongside specific working capital movements, manifested in a notable cash flow anomaly during the quarter. DoubleVerify reported negative Free Cash Flow (FCF) of -$6.4 million for Q1 2026, a sharp contrast to the positive $31.4 million generated in Q1 2025. Chief Financial Officer Nicola Allais attributed this operating cash flow pressure to the specific timing of receivables collections and payments at the end of the quarter, as well as increased capital expenditures. While the company maintains a pristine balance sheet—ending the quarter with $173.8 million in cash and cash equivalents and zero long-term debt—the negative cash generation introduced near-term investor concerns, causing a slight dip in aftermarket trading.</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Full-Year 2026 Guidance and Capital Allocation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Q1 cash flow pressures, DoubleVerify management signaled strong confidence in the company's trajectory, maintaining its disciplined capital allocation strategy and reiterating its full-year guidance.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DoubleVerify 2026 Financial Guidance and Capital Allocation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2026 Guidance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 2026 Guidance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Context and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$199M – $205M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$810M – $826M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Implies ~7% YoY growth in Q2, and 8%-10% growth for the full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EBITDA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$63M – $67M</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$267M – $283M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Anticipated margin of ~32% in Q2, expanding to ~34% for the full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 Cash Flow</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FCF conversion rate of approximately 60% for the full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Stock-Based Comp</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$102M – $107M</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Represents a &gt;40% reduction in equity grant value compared to 2025.</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Data Source: DoubleVerify Q1 2026 SEC 8-K Filing, Press Release, and Earnings Transcript.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company is aggressively utilizing its cash reserves to execute shareholder returns. By May 6, 2026, DoubleVerify had repurchased 9.8 million shares for $100.2 million year-to-date (with $75 million of these repurchases occurring explicitly in Q1). This activity is part of a broader $300 million authorization program. The aggressive buyback strategy serves multiple purposes: it signals management's confidence in the intrinsic valuation of the stock, returns capital to shareholders in the absence of a dividend, and importantly, acts as a counterweight to the dilutive effects of stock-based compensation (SBC). Management has notably guided for a significant reduction in SBC, projecting $102 million to $107 million for the full year, which represents a more than 40% reduction versus the 2025 grant cycle.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Product-Led Growth: Social, Streaming, and Artificial Intelligence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DoubleVerify’s overarching strategic objective—its "midterm goal"—is to shift its revenue mix away from commoditized display verification and increase the contribution of social, streaming TV, and AI-driven solutions from under 30% of total revenue to approximately 50%. The Q1 2026 results indicate that this product-led growth strategy is materializing rapidly.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explosive growth occurred in the Social Activation segment, which surged 92% year-over-year in Q1, accelerating from 62% growth in Q4 2025. This was driven by the aggressive scaling of capabilities across Meta Platforms, Alphabet's YouTube, and ByteDance's TikTok. For example, the company reported that 87 advertisers are now utilizing Meta activation, representing an annualized run rate of $12 million. Furthermore, DV achieved Media Rating Council (MRC) accreditation for TikTok Video Viewability, becoming the first measurement vendor to receive this specific accreditation, thereby solidifying its competitive moat within the highly guarded social ecosystems.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intelligence is not merely an operational efficiency tool for DoubleVerify; it is the core of its new product suite. In Q3 2025, DV launched "Authentic AdVantage" on YouTube, a product that leverages technology from its acquisition of Scibids to combine AI optimization with pre-bid filtering and post-bid measurement. This product alone is on track to deliver $10 million in expected Annual Contract Value (ACV) in 2026, up from $8 million at the end of the previous quarter.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addressing the proliferation of low-quality, generative AI-produced content across the web, DoubleVerify launched "DV AI Slop Stopper" for social video. This product was adopted with unprecedented speed; by the end of Q1, the measurement application of Slop Stopper was already being applied to approximately 40% of all DV measured impressions, representing one of the fastest-scaling attach rates in the company's history.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Connected TV environment, CTV measurement impressions grew by 28%. DV also launched DV Authentic Streaming TV, which combines verification with granular pre-bid discovery and AI-powered activation. Furthermore, the company announced a strategic partnership with Spectrum Reach, making it the first partner to join DV's Certified Transparent Streaming program, which provides direct show-level transparency data within DV reporting—a critical feature for advertisers demanding granular insights into streaming inventory.</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Threat of Disintermediation and the Scope3 Pivot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existence of a dedicated, third-party Shield Layer has always been predicated on the concept of independent auditing. However, as Demand-Side Platforms (DSPs) and hyperscalers continually enhance their own native, in-house capabilities, the industry consistently debates the risk of disintermediation. If a DSP can effectively filter out fraud and ensure brand safety using its own proprietary algorithms, advertisers may increasingly view third-party verification vendors as an unnecessary, margin-eroding "tax."</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Limits of DSP In-Housing and the Necessity of Accreditation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tangible evidence of scaled organizations attempting to internalize fraud detection capabilities to reduce reliance on external vendors. For example, in 2026, it was reported that HDFC Bank successfully developed an in-house proprietary AI platform—dubbed "Neev"—to detect digital fraud in real-time. This audacious project was spearheaded by engineers actively recruited from hyperscalers like Amazon and leading fintech firms. In the programmatic bidding space, major DSPs such as The Trade Desk (TTD) offer highly sophisticated custom algorithmic bidding. These native tools allow advertisers to incorporate proprietary data signals, adjust pacing, and automatically minimize exposure to general Invalid Traffic (IVT), ensuring that brands pay primarily for viewable, high-quality impressions without strictly requiring a third-party overlay.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internal capabilities, the complete disintermediation of third-party Shield Layer vendors by DSPs or hyperscalers remains highly improbable due to severe structural constraints within the advertising market. The core issue is the principal-agent problem and the inherent conflict of interest. A DSP or an ad network generates revenue by facilitating the transaction of media inventory. If the entity selling the media is also the entity responsible for grading the quality, viewability, and safety of that media, the financial incentive to overlook sophisticated fraud is immense.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mitigate this risk, institutional advertisers, holding companies, and industry watchdogs require strict adherence to independent standards, primarily governed by the Media Rating Council (MRC). The MRC audits and accredits vendors specifically for their ability to neutrally and accurately measure digital metrics. Because DSPs cannot objectively audit their own supply chains, they are forced to actively partner with independent entities like DoubleVerify and IAS to provide the authenticated transparency that major brands demand. Consequently, the risk is not outright replacement; rather, it is that native DSP tools become sophisticated enough to satisfy the needs of mid-market or performance-driven advertisers, thereby restricting the total addressable market and compressing the pricing power of the premium third-party vendors.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Scope3 Saga: Disruption, Acquisition, and Retreat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dynamic and volatile competitive development in the Shield Layer between 2024 and 2026 centered on Scope3. Founded in 2022 by Brian O'Kelley—the former CEO of AppNexus and a foundational architect of programmatic advertising—Scope3 initially entered the market with a hyper-specific mandate: measuring and reducing the carbon emissions generated by the digital advertising supply chain.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O'Kelley recognized a deeper systemic frustration among advertisers regarding the DV/IAS verification duopoly. Legacy verification systems primarily relied on blunt, rules-based methodologies, such as extensive keyword blocklists and rigid category exclusions. While these tools offered a baseline of brand safety, they resulted in massive "false positives," indiscriminately blocking premium publisher inventory (such as legitimate news sites covering natural disasters or conflicts) and severely restricting advertiser reach.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capitalize on this frustration and disrupt the incumbents, Scope3 aggressively entered the ad verification space. In November 2024, Scope3 acquired Adloox, a France-based ad verification and insights platform that held crucial MRC accreditations for viewability and the detection of invalid traffic. This acquisition was designed to merge Adloox's rigorous, audited verification capabilities with Scope3's sustainability data.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the Adloox infrastructure, Scope3 launched what it termed "Agentic Advertising." Instead of relying on static blocklists, Scope3 introduced "Brand Agents"—autonomous, Large Language Model (LLM)-powered agents that brands could train with their specific suitability guidelines, brand voice, and sustainability targets. These AI agents evaluated every single impression contextually and in real-time, parsing the actual sentiment and meaning of the webpage to make nuanced decisions, simultaneously filtering out Made-For-Advertising (MFA) sites, IVT, and high-emission properties.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this AI-native approach appeared to represent an existential threat to the legacy business models of DV and IAS, prompting intense industry speculation regarding the future of the duopoly. However, the ambitious strategy collided with the brutal operational realities of the ad verification market. Maintaining an enterprise-grade verification business requires colossal infrastructure: processing billions of bid requests per second, managing exhaustive integrations across every major DSP, SSP, and publisher, and sustaining API parity within the tightly guarded walls of Meta, Google, and Amazon.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infrastructural burden of supporting legacy verification tools while simultaneously attempting to pioneer LLM-driven agentic buying proved unsustainable for a venture-backed startup. The company faced multiple rounds of layoffs affecting engineering and sales departments as it struggled to find a durable growth story. Consequently, in a rapid strategic reversal, Scope3 formally exited the ad verification category entirely. On June 2, 2026, Scope3 announced the divestiture and sale of Adloox to the contextual advertising company Peer39. Scope3 CEO Brian O'Kelley explicitly stated that the sale allowed the company to retreat from verification and focus exclusively on building the infrastructure for its core agentic advertising and carbon measurement platforms.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Emergence of Peer39 as a Formidable Challenger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Scope3's exit did not eliminate the competitive threat to DoubleVerify and IAS; rather, it transferred a powerful weapon into the hands of a much more strategically aligned adversary. Peer39 has long operated as a leading provider of pre-bid contextual intelligence, utilizing natural language processing to categorize web content for advertisers seeking to target relevant environments without relying on privacy-infringing cookies.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advertising and media verification share near-identical technological foundations: both require parsing webpage content, evaluating sentiment, and classifying risk or relevance at scale. Therefore, the acquisition of Adloox represented a perfect strategic fit for Peer39. By absorbing Adloox, Peer39 immediately integrated MRC-accredited post-bid verification (viewability and IVT detection) into its existing pre-bid contextual suite, creating a unified "environmental truth layer".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the Adloox acquisition granted Peer39 highly coveted, authenticated signal controls and integrations deep inside the major walled gardens—specifically Google Display &amp; Video 360 (DV360), Amazon DSP, and Meta. Prior to this deal, Peer39's operations were largely confined to CTV and the open web. Now, equipped with Adloox's infrastructure, Peer39 can offer advertisers a consistent, independent quality signal across virtually every major buying platform, directly challenging DoubleVerify's Authentic Brand Suitability (ABS) and IAS's Context Control solutions. While DV remains the dominant force, the emergence of a unified Peer39/Adloox entity ensures that the Shield Layer will remain highly competitive, preventing the remaining public incumbent from exercising monopolistic pricing power.</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Escalation of AI-Driven Fraud in Connected TV (CTV)</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existential purpose of the Shield Layer is to protect institutional media capital from organized criminal extraction. As digital advertising budgets have migrated, the theater of this conflict has shifted decisively toward Connected TV (CTV). Unlike desktop display or mobile web advertising, where CPMs are relatively low, CTV inventory commands premium pricing, frequently exceeding $20 to $30 per thousand impressions. This high yield makes CTV the most lucrative and targeted environment for sophisticated ad fraud syndicates.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140% Surge and the AI Arms Race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May 2026, DoubleVerify released its seminal Global Insights report, titled </w:t>
      </w:r>
      <w:r w:rsidDel="00000000" w:rsidR="00000000" w:rsidRPr="00000000">
        <w:rPr>
          <w:i w:val="1"/>
          <w:iCs w:val="1"/>
          <w:rtl w:val="0"/>
        </w:rPr>
        <w:t xml:space="preserve">Must-CTV: Streaming's Shift From Promise to Performance</w:t>
      </w:r>
      <w:r w:rsidDel="00000000" w:rsidR="00000000" w:rsidRPr="00000000">
        <w:rPr>
          <w:rtl w:val="0"/>
        </w:rPr>
        <w:t xml:space="preserve">, which provided an empirical assessment of the threat landscape. The data revealed an unprecedented escalation: DoubleVerify documented a </w:t>
      </w:r>
      <w:r w:rsidDel="00000000" w:rsidR="00000000" w:rsidRPr="00000000">
        <w:rPr>
          <w:b w:val="1"/>
          <w:bCs w:val="1"/>
          <w:rtl w:val="0"/>
        </w:rPr>
        <w:t xml:space="preserve">140% year-over-year surge in CTV fraud schemes and variants</w:t>
      </w:r>
      <w:r w:rsidDel="00000000" w:rsidR="00000000" w:rsidRPr="00000000">
        <w:rPr>
          <w:rtl w:val="0"/>
        </w:rPr>
        <w:t xml:space="preserve"> globally in the first quarter of 2026 compared to the same period in 2025. Throughout 2025 alone, the company uncovered more than 50 distinct, persistent bot attacks targeting CTV environments, and identified a staggering tenfold increase in the number of fraudulent CTV applications compared to 2024.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explosive growth in both the volume and complexity of fraud is directly attributable to the weaponization of Artificial Intelligence. Fraudsters are rapidly adopting generative AI, Large Language Models, and advanced machine learning techniques to scale their operations and evade detection. AI tools are utilized to autonomously generate thousands of fake CTV applications, bypass standard app store security protocols, and dynamically alter their code to avoid signature-based detection. Furthermore, AI enables botnets to generate highly realistic, randomized viewing patterns that mimic genuine human behavior—such as natural mouse movements, varied session durations, and unpredictable entry/exit patterns—overwhelming legacy rules-based filters that rely on identifying simple repetition.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impact of this AI-fueled SIVT (Sophisticated Invalid Traffic) is massive. According to DoubleVerify's proprietary methodology, in unprotected programmatic campaigns, fraud extracts an estimated </w:t>
      </w:r>
      <w:r w:rsidDel="00000000" w:rsidR="00000000" w:rsidRPr="00000000">
        <w:rPr>
          <w:b w:val="1"/>
          <w:bCs w:val="1"/>
          <w:rtl w:val="0"/>
        </w:rPr>
        <w:t xml:space="preserve">$1.8 million per billion CTV impressions served</w:t>
      </w:r>
      <w:r w:rsidDel="00000000" w:rsidR="00000000" w:rsidRPr="00000000">
        <w:rPr>
          <w:rtl w:val="0"/>
        </w:rPr>
        <w:t xml:space="preserve">. With trillions of CTV impressions transacted annually across the global ecosystem, the aggregate capital siphoned by these networks represents a systemic threat to media efficiency.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CTV Fraud: SSAI Spoofing and Regional Disparities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vulnerability of Connected TV stems from its unique delivery architecture, specifically the reliance on Server-Side Ad Insertion (SSAI). In traditional desktop programmatic environments, the ad call is executed "client-side" (directly on the user's web browser). This architecture allows verification vendors to deploy JavaScript tags (such as VPAID) that ping the local device, verify the IP address, measure screen geometry, and confirm that the ad actually rendered on a screen.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CTV environment, executing ads client-side often results in latency, buffering, and a degraded viewer experience. To ensure a seamless, broadcast-quality television experience, ads are instead "stitched" directly into the video stream at the server level (SSAI) before the combined stream is delivered to the consumer's television. Because the viewer's physical television never directly calls the ad server, standard client-side tracking telemetry is completely neutralized.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Fraudsters exploit this architectural blind spot through a technique known as </w:t>
      </w:r>
      <w:r w:rsidDel="00000000" w:rsidR="00000000" w:rsidRPr="00000000">
        <w:rPr>
          <w:b w:val="1"/>
          <w:bCs w:val="1"/>
          <w:rtl w:val="0"/>
        </w:rPr>
        <w:t xml:space="preserve">SSAI Spoofing</w:t>
      </w:r>
      <w:r w:rsidDel="00000000" w:rsidR="00000000" w:rsidRPr="00000000">
        <w:rPr>
          <w:rtl w:val="0"/>
        </w:rPr>
        <w:t xml:space="preserve"> or device fabrication. Criminal syndicates establish massive data centers filled with servers that generate millions of rapid, automated ad requests. These servers manipulate the header data to falsely declare themselves as legitimate Roku, Apple TV, Amazon Fire, or Samsung CTV devices processing SSAI streams. Because the SSP (Supply-Side Platform) cannot ping the actual end device to verify its existence, it accepts the server's request and serves a premium-priced video ad to a phantom television that does not exist.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of these techniques varies significantly by geography, indicating that fraud syndicates adapt their industrialized methodologies to specific regional vulnerabilities. DoubleVerify's data highlighted severe regional disparities: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 America:</w:t>
      </w:r>
      <w:r w:rsidDel="00000000" w:rsidR="00000000" w:rsidRPr="00000000">
        <w:rPr>
          <w:rtl w:val="0"/>
        </w:rPr>
        <w:t xml:space="preserve"> 82% of CTV violations were driven by traditional </w:t>
      </w:r>
      <w:r w:rsidDel="00000000" w:rsidR="00000000" w:rsidRPr="00000000">
        <w:rPr>
          <w:b w:val="1"/>
          <w:bCs w:val="1"/>
          <w:rtl w:val="0"/>
        </w:rPr>
        <w:t xml:space="preserve">bot fraud</w:t>
      </w:r>
      <w:r w:rsidDel="00000000" w:rsidR="00000000" w:rsidRPr="00000000">
        <w:rPr>
          <w:rtl w:val="0"/>
        </w:rPr>
        <w:t xml:space="preserve"> (malicious software operating on compromised consumer devices imitating user behavior).</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APAC (Asia-Pacific):</w:t>
      </w:r>
      <w:r w:rsidDel="00000000" w:rsidR="00000000" w:rsidRPr="00000000">
        <w:rPr>
          <w:rtl w:val="0"/>
        </w:rPr>
        <w:t xml:space="preserve"> A staggering 98% of CTV violations were driven by </w:t>
      </w:r>
      <w:r w:rsidDel="00000000" w:rsidR="00000000" w:rsidRPr="00000000">
        <w:rPr>
          <w:b w:val="1"/>
          <w:bCs w:val="1"/>
          <w:rtl w:val="0"/>
        </w:rPr>
        <w:t xml:space="preserve">data center traffic</w:t>
      </w:r>
      <w:r w:rsidDel="00000000" w:rsidR="00000000" w:rsidRPr="00000000">
        <w:rPr>
          <w:rtl w:val="0"/>
        </w:rPr>
        <w:t xml:space="preserve"> (server-side SSAI spoofing).</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LATAM &amp; EMEA:</w:t>
      </w:r>
      <w:r w:rsidDel="00000000" w:rsidR="00000000" w:rsidRPr="00000000">
        <w:rPr>
          <w:rtl w:val="0"/>
        </w:rPr>
        <w:t xml:space="preserve"> Data center traffic also dominated Latin America (91%) and Europe/Middle East/Africa (66%).</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Shattering of the Direct Deal Myth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pervasive heuristic among media buyers and agency trading desks has been the belief that ad fraud is strictly a phenomenon of the "open exchange"—the highly fragmented programmatic marketplace. The prevailing assumption was that executing "Direct Deals" or purchasing inventory through premium Private Marketplaces (PMPs) directly from major broadcasters guaranteed a fraud-free environment.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data categorically shattered this assumption. DoubleVerify's telemetry identified massive bot activity embedded directly within premium CTV buys executed by top-tier global advertisers. In one prominently cited case study involving a major consumer healthcare campaign, </w:t>
      </w:r>
      <w:r w:rsidDel="00000000" w:rsidR="00000000" w:rsidRPr="00000000">
        <w:rPr>
          <w:b w:val="1"/>
          <w:bCs w:val="1"/>
          <w:rtl w:val="0"/>
        </w:rPr>
        <w:t xml:space="preserve">34% of the impressions purchased via a direct deal were consumed entirely by bots</w:t>
      </w:r>
      <w:r w:rsidDel="00000000" w:rsidR="00000000" w:rsidRPr="00000000">
        <w:rPr>
          <w:rtl w:val="0"/>
        </w:rPr>
        <w:t xml:space="preserve">. In another direct-deal campaign for a major Consumer Packaged Goods (CPG) brand, the bot traffic rate reached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infiltration typically occurs through mechanisms known as "impression laundering" or audience extension. When a premium publisher sells a massive direct deal, they guarantee the advertiser a specific volume of impressions. If the publisher's native viewership cannot fulfill this quota, they frequently utilize audience extension programs, sourcing cheap traffic from third-party syndication networks or lower-tier publishers to make up the difference. Fraudsters specifically target and inject their bot traffic into these lower-tier, unmonitored networks. The fraudulent traffic is then laundered upward, seamlessly blending into the premium publisher's direct-sold inventory. As noted by Gilit Saporta, VP of the Fraud Lab at DoubleVerify, "There's a perception that direct deals in CTV are fraud-free, but that's not the case as fraud always finds a way. It can exist anywhere inventory is bought and sold".</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Countermeasures: Cryptography and AI Defense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Mitigating this level of sophisticated, AI-driven fraud requires countermeasures that extend far beyond simplistic IP blocklists. The industry is currently converging on several advanced technical and cryptographic solutions to secure the supply chain: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Primary Technical Countermeasures in the Shield Layer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Countermeasure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Challenge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Ads.cert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cryptographic protocol developed by the IAB Tech Lab. Requires publishers to attach a verifiable, cryptographic digital signature to the bid request at the point of origination. Buyers decrypt the signature to verify the supply path, domain, and device authenticity, neutralizing SSAI spoofing.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technical friction. Requires complex publisher-side certificate management and server configuration, resulting in slow industry-wide adoption.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OM SDK (Open Measurement)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software development kit that facilitates independent third-party viewability and verification measurement directly within native apps and CTV environments, eliminating the need for custom integrations.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widespread adoption by app developers to integrate the SDK into their source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Honeypot Traps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invisible links, pixels, or hidden fields within the code of a webpage or app. Genuine human users cannot see or interact with them; interactions are exclusively triggered by automated bots, instantly flagging the session.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Fraudsters continuously update bot behavioral models to recognize and avoid known honeypot configurations.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Behavioral Analysis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defensive machine learning to analyze massive datasets for anomalies. AI models evaluate scroll depth, session duration variance, interaction timing, and device fingerprint clustering to identify non-human patterns.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ongoing arms race; as defensive AI improves, fraudsters utilize generative AI to create more randomized, human-like telemetry.</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Data Source: IAB Tech Lab, DoubleVerify, and Cybersecurity Industry Analysis.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deployed effectively, these countermeasures yield undeniable results. DoubleVerify reported that in CTV campaigns utilizing their pre-bid fraud avoidance segments and protections, the violation rate was maintained at less than 1%. Conversely, in campaigns executed without verification controls, nearly 9% of impressions were consumed by non-human traffic.</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Advertiser Adoption Gap and Misaligned Market Incentives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empirical severity of the ad fraud epidemic—costing the industry billions of dollars annually—and the proven efficacy of technical countermeasures, the programmatic market exhibits a profound and systemic disconnect regarding utilization. Data from 2026 reveals a staggering advertiser adoption gap: </w:t>
      </w:r>
      <w:r w:rsidDel="00000000" w:rsidR="00000000" w:rsidRPr="00000000">
        <w:rPr>
          <w:b w:val="1"/>
          <w:bCs w:val="1"/>
          <w:rtl w:val="0"/>
        </w:rPr>
        <w:t xml:space="preserve">fewer than 21% of advertisers utilize Invalid Traffic (IVT) detection or fraud prevention as a core Key Performance Indicator (KPI) for their CTV campaigns</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exceptionally low adoption rate is not the result of ignorance regarding the existence of fraud. Rather, it is the direct manifestation of a principal-agent problem and deep structural misalignments in how media buying is incentivized, executed, and evaluated within the agency ecosystem.</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"Verification Tax" and the Reach Paradox</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buyers and agency trading desks operate under strict mandates from their brand clients. Historically, these mandates heavily incentivize the delivery of massive scale (Reach) at the lowest possible cost (measured via Cost Per Mille [CPM] or Cost Per Acquisition [CPA]).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strict pre-bid IVT blocking, SSAI spoofing filters, and brand safety parameters inherently restricts the available pool of purchasable inventory. By the fundamental laws of supply and demand, restricting the supply of available inventory forces the buyer into more competitive auctions, resulting in higher clearing prices (higher CPMs) for the remaining, verified premium inventory.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utilizing the Shield Layer makes a media buyer's campaign metrics look significantly worse on traditional reporting dashboards. An unprotected campaign will report massive reach and incredibly low CPMs, subsidized by bottom-tier programmatic inventory, audience extension networks, and bot traffic. Conversely, a protected campaign will report lower reach and higher CPMs. Because fraudulent impressions have absolutely zero chance of driving actual business outcomes (a bot cannot purchase a product), the unprotected campaign represents entirely wasted capital. Yet, in the siloed, proxy-metric reporting dashboards utilized by many media agencies, the unprotected campaign appears vastly more "efficient".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a perverse incentive structure where agencies are quietly penalized for utilizing verification. Furthermore, the fees charged by DoubleVerify, IAS, or Peer39 represent an additional line-item cost on the media plan. As noted by industry analysts, many marketers view verification not as a value-add, but as a "necessary evil and a necessary tax" that erodes their working media budget.</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TrueKPI Framework and Strategic Realignment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adoption gap and protect institutional capital, the industry—spearheaded by organizations such as the Association of National Advertisers (ANA)—is advocating for a fundamental transition toward outcome-based measurement, frequently formalized as the "TrueKPI" framework.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TrueKPI philosophy requires brands to abandon proxy metrics like gross impressions, view-through rates, or raw CPMs. Instead, it mandates aligning the incentives of media agencies directly with tangible business outcomes, such as verified sales, qualified lead generation, or measured foot traffic. When programmatic campaigns are evaluated strictly on genuine Return on Ad Spend (ROAS), the mathematical value of the Shield Layer becomes undeniable. Filtering out the baseline 9% of fraudulent traffic across the open web—or the catastrophic 25% to 34% bot traffic infiltrating compromised direct deals—reallocates working capital exclusively toward genuine human audiences, which mathematically forces an improvement in conversion rates.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DoubleVerify explicitly noted in its insights report that while fraud prevention is not a direct measure of performance itself, it plays an absolute, critical role in enabling performance by ensuring exposure to low-quality inventory does not dilute campaign effectiveness. Until brand marketers actively penalize their agencies for optimizing toward vanity metrics and mandate verification as a prerequisite for compensation, the 21% adoption ceiling for IVT as a core KPI will likely persist. This structural inertia guarantees that the programmatic ecosystem will continue to leak billions of dollars to automated extraction, effectively subsidizing the AI-driven fraud economy.</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DoubleVerify (NYSE: DV) posts 31% margin and $100M share buyback - Stock Titan, https://www.stocktitan.net/sec-filings/DV/8-k-double-verify-holdings-inc-reports-material-event-96ea7b547b22.html 2. DoubleVerify Q1 2026 slides: AI drives growth amid cash concerns - Investing.com, https://www.investing.com/news/company-news/doubleverify-q1-2026-slides-ai-drives-growth-amid-cash-concerns-93CH-4665923 3. CTV fraud schemes up 140% as AI arms both sides of the fight - PPC Land, https://ppc.land/ctv-fraud-schemes-up-140-as-ai-arms-both-sides-of-the-fight/ 4. Equity Corporate Actions Alert #2025 - 699 (UPDATED: Merger closed) Information Regarding the Merger of Integral Ad Science Holding Corp. (IAS) - Nasdaq Trader, https://www.nasdaqtrader.com/TraderNews.aspx?id=ECA2025-699 5. IAS Announces Completion of Acquisition by Novacap - Integral Ad Science, https://integralads.com/news/ias-priorities-in-2026/ 6. IAS SEC Filings - Integral Ad Science Holding Corp. 10-K, 10-Q, 8-K Forms - Stock Titan, https://www.stocktitan.net/sec-filings/IAS/ 7. IAS to be Acquired by Novacap for $1.9 Billion to Further Support Its Strategic Goals, https://www.prnewswire.com/news-releases/ias-to-be-acquired-by-novacap-for-1-9-billion-to-further-support-its-strategic-goals-302565793.html 8. Preliminary Information Statement - SEC.gov, https://www.sec.gov/Archives/edgar/data/1842718/000114036125039498/ny20056670x1_prem14c.htm 9. IAS to be Acquired by PE Firm Novacap for $1.9 Billion - VideoWeek, https://videoweek.com/2025/09/24/ias-to-be-acquired-by-pe-firm-novacap-for-1-9-billion/ 10. Willkie Advises Novacap on $1.9 Billion Take-Private Acquisition of Integral Ad Science, https://www.willkie.com/news/2025/09/willkie-advises-novacap-on-1-9-billion-take-private-acquisition-of-integral-ad-science 11. IAS goes private. Scope3: "Yeah, Because of Us." : r/programmatic - Reddit, https://www.reddit.com/r/programmatic/comments/1nvet2m/ias_goes_private_scope3_yeah_because_of_us/ 12. Integral Ad Science Holding Corp. (IAS) Management ... - KoalaGains, https://koalagains.com/stocks/NASDAQ/IAS/management-team 13. Leadership and Awards - Integral Ad Science, https://integralads.com/about-ias/leadership-awards/ 14. IAS Appoints Alpana Wegner as Chief Financial Officer - PR Newswire, https://www.prnewswire.com/news-releases/ias-appoints-alpana-wegner-as-chief-financial-officer-302471846.html 15. IAS APPOINTS MARC GRABOWSKI AS CHIEF OPERATING OFFICER AND SRISHTI GUPTA AS CHIEF PRODUCT OFFICER - PR Newswire, https://www.prnewswire.com/news-releases/ias-appoints-marc-grabowski-as-chief-operating-officer-and-srishti-gupta-as-chief-product-officer-302237946.html 16. What's It Like to Work at Integral Ad Science? - Built In, https://builtin.com/company/integral-ad-science/faq/workplace-perception 17. Integral Ad Science agrees to $10.30 per-share cash merger | IAS 8-K Filing - Stock Titan, https://www.stocktitan.net/sec-filings/IAS/8-k-integral-ad-science-holding-corp-reports-material-event-0ea9f3280119.html 18. From Achievement to Acceleration: Looking Ahead to IAS Priorities in 2026 - Integral Ad Science, https://integralads.com/insider/ias-priorities-in-2026/ 19. Novacap to acquire digital ad verification firm Integral Ad Science for $1.9bn, https://www.privateequitywire.co.uk/novacap-to-acquire-digital-ad-verification-firm-integral-ad-science-for-1-9bn/ 20. DoubleVerify Reports First Quarter 2026 Financial Results, https://ir.doubleverify.com/news-events/press-releases/press-releases-details/2026/DoubleVerify-Reports-First-Quarter-2026-Financial-Results/default.aspx 21. DoubleVerify reiterates 2026 revenue of $810M-$826M while targeting ~34% adjusted EBITDA margin - Seeking Alpha, https://seekingalpha.com/news/4588454-doubleverify-reiterates-2026-revenue-of-810m-826m-while-targeting-34-percent-adjusted-ebitda 22. DoubleVerify (DV) Q1 2026 Earnings Transcript | The Motley Fool, https://www.fool.com/earnings/call-transcripts/2026/05/06/doubleverify-dv-q1-2026-earnings-transcript/ 23. DoubleVerify (DV) | Trefis, https://www.trefis.com/data/companies/DV?from=DV_merger_acquisition_2026-07-03&amp;mod=co_top_doubleverifydv 24. Global Study: Fueled by AI, CTV Fraud Schemes Surge 140% Globally - DoubleVerify, https://doubleverify.com/company/newsroom/global-study-ctv-fraud-schemes-surge-140-globally 25. HDFC Bank develops own AI platform, fraud monitoring system, https://m.economictimes.com/industry/banking/finance/banking/hdfc-bank-develops-own-ai-platform-fraud-monitoring-system/articleshow/132146054.cms 26. The Trade Desk: Features &amp; Best Practices 2026 - Improvado, https://improvado.io/blog/the-trade-desk-guide 27. Peer39 snaps up Adloox from Scope3 to challenge DoubleVerify and IAS - PPC Land, https://ppc.land/peer39-snaps-up-adloox-from-scope3-to-challenge-doubleverify-and-ias/ 28. Scope3 Expands Team With Industry Veterans, Triples Revenue in 2023 and Names Brenda Tuohig Chief Commercial Officer, https://sustainability.scope3.com/news/scope3-expands-team-with-industry-veterans-triples-revenue-in-2023-and-names-brenda-tuohig-chief-commercial-officer 29. Scope3 to take on brand-safety companies with new AI tech - Marketing Brew, https://www.marketingbrew.com/stories/2025/03/13/scope3-to-take-on-brand-safety-companies-with-new-ai-tech 30. Introducing Brand Agents: Take Control of Every Impression - Scope3, https://scope3.com/blog/introducing-brand-agents-take-control-of-every-impression/ 31. Blog | Scope3, https://sustainability.scope3.com/blog 32. Adloox is now part of Scope3, https://adloox.scope3.com/ 33. Industry News Round-Up: Understanding Agentic Media and the Future of Media Buying, https://scope3.com/blog/industry-news-round-up-understanding-agentic-media-and-the-future-of-media-buying/ 34. Scope3 Offloads Adloox, Exits Ad Verification - AdTechRadar, https://adtechradar.com/2026/06/02/scope3-sells-adloox-to-peer39/ 35. The performance marketer's guide to media planning and buying, https://launchcodex.com/blog/performance-marketing/performance-marketers-guide-media-planning-buying/ 36. Peer39 Acquires Adloox from Scope3, Unifying Contextual Intelligence, Brand Safety Across Google, Meta, and the Open Web - EIN Presswire, https://www.einpresswire.com/article/916779905/peer39-acquires-adloox-from-scope3-unifying-contextual-intelligence-brand-safety-across-google-meta-and-the-open-web 37. Peer39 Acquires Adloox, Extending Brand Safety, Contextual Intelligence and Verification Across DV360, Meta, and Amazon DSP, https://www.peer39.com/blog/peer39-acquires-adloox-extending-brand-safety-contextual-intelligence-and-verification-across-dv360-meta-and-amazon-dsp 38. Peer39 Acquires Adloox, Expanding Brand Safety, Verification, And Contextual Intelligence, https://pulse2.com/peer39-acquires-adloox-expanding-brand-safety-verification-and-contextual-intelligence/ 39. Dashboards Die, Healthcare Gets Creepy, Peer39 Levels Up, and Temu Defies Gravity, https://therefreshnews.com/p/dashboards-die-healthcare-gets-creepy-peer39-levels-up-and-temu-defies-gravity 40. Global Study: Fueled by AI, CTV Fraud Schemes Surge 140% Globally, https://www.stocktitan.net/news/DV/global-study-fueled-by-ai-ctv-fraud-schemes-surge-140-5rxzt59h2oeu.html 41. AI-driven CTV fraud schemes surge 140 per cent globally, finds DoubleVerify study, https://indiantelevision.com/mam/ai-driven-ctv-fraud-schemes-surge-140-per-cent-globally-finds-doubleverify-study/ 42. The Complete Guide to Preventing Ad Fraud &amp; Invalid Traffic in 2026 - Blog Auxoads, https://blog.auxoads.com/the-complete-guide-to-preventing-ad-fraud-invalid-traffic-in-2026/ 43. SSP &amp; DSP Ad Fraud | How Invalid Traffic Destroys Revenue and How to Stop It, https://www.tuvoc.com/blog/ssp-dsp-ad-fraud-invalid-traffic-revenue-protection/ 44. Passing the Baton - Programmatic TV Advertising as a Relay Race: - Coalition for Innovative Media Measurement (CIMM), https://cimm-us.org/wp-content/uploads/2025/04/Passing-the-Baton-Programmatic-TV-Advertising-as-a-Relay-Race_April-2025-v2.pdf 45. DoubleVerify reports surge in CTV fraud - MarketingReport, https://marketingreport.one/news/doubleverify-reports-surge-in-ctv-fraud.html 46. CTV Programmatic Guide - IAB Tech Lab, https://iabtechlab.com/standards-old/ctv-programmatic-guide/ 47. The $122 Billion Ad Fraud Mafia Marketers Are Ignoring - B&amp;T, https://www.bandt.com.au/the-122-billion-ad-fraud-mafia-marketers-are-ignoring/ 48. ANA Programmatic Media Supply Chain Transparency Study | Adslot, https://www.adslot.com/wp-content/uploads/2023/12/ana-programmatic-media-supply-chain-transparency-study.pdf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