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edadbd54e2363eaf6ca7724dd81eeb65127ea98"/>
    <w:p>
      <w:pPr>
        <w:pStyle w:val="Heading1"/>
      </w:pPr>
      <w:r>
        <w:t xml:space="preserve">Auditing and Repairing a Published Nepali ASR Model: A Speaker-Diversity Case Study on XLS-R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ST7088CEM — Artificial Neural Networks</w:t>
      </w:r>
    </w:p>
    <w:p>
      <w:pPr>
        <w:pStyle w:val="BodyText"/>
      </w:pPr>
      <w:r>
        <w:rPr>
          <w:b/>
          <w:bCs/>
        </w:rPr>
        <w:t xml:space="preserve">Student:</w:t>
      </w:r>
      <w:r>
        <w:t xml:space="preserve"> </w:t>
      </w:r>
      <w:r>
        <w:t xml:space="preserve">Bimochan Raj Kunwar — Coventry ID: 17108924, MSc7-S2</w:t>
      </w:r>
    </w:p>
    <w:bookmarkStart w:id="9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Nepali automatic speech recognition (ASR) benchmarks reported in the</w:t>
      </w:r>
      <w:r>
        <w:t xml:space="preserve"> </w:t>
      </w:r>
      <w:r>
        <w:t xml:space="preserve">literature and on model-sharing platforms are frequently measured on narrow,</w:t>
      </w:r>
      <w:r>
        <w:t xml:space="preserve"> </w:t>
      </w:r>
      <w:r>
        <w:t xml:space="preserve">low-diversity corpora — often a single speaker’s read speech — and then cited</w:t>
      </w:r>
      <w:r>
        <w:t xml:space="preserve"> </w:t>
      </w:r>
      <w:r>
        <w:t xml:space="preserve">as evidence of general-purpose transcription quality. This report audits one</w:t>
      </w:r>
      <w:r>
        <w:t xml:space="preserve"> </w:t>
      </w:r>
      <w:r>
        <w:t xml:space="preserve">such claim:</w:t>
      </w:r>
      <w:r>
        <w:t xml:space="preserve"> </w:t>
      </w:r>
      <w:r>
        <w:rPr>
          <w:rStyle w:val="VerbatimChar"/>
        </w:rPr>
        <w:t xml:space="preserve">gagan3012/wav2vec2-xlsr-nepali</w:t>
      </w:r>
      <w:r>
        <w:t xml:space="preserve">, a publicly available Hugging</w:t>
      </w:r>
      <w:r>
        <w:t xml:space="preserve"> </w:t>
      </w:r>
      <w:r>
        <w:t xml:space="preserve">Face XLS-R (wav2vec2) checkpoint that self-reports a 5.97% word error rate</w:t>
      </w:r>
      <w:r>
        <w:t xml:space="preserve"> </w:t>
      </w:r>
      <w:r>
        <w:t xml:space="preserve">(WER). That figure was measured on OpenSLR-43, the model’s own</w:t>
      </w:r>
      <w:r>
        <w:t xml:space="preserve"> </w:t>
      </w:r>
      <w:r>
        <w:t xml:space="preserve">single-speaker training corpus. This project asks two questions. First, does</w:t>
      </w:r>
      <w:r>
        <w:t xml:space="preserve"> </w:t>
      </w:r>
      <w:r>
        <w:t xml:space="preserve">the claim survive contact with genuinely diverse speech — a different,</w:t>
      </w:r>
      <w:r>
        <w:t xml:space="preserve"> </w:t>
      </w:r>
      <w:r>
        <w:t xml:space="preserve">multi-speaker Nepali corpus the model was never trained on? Second, if the</w:t>
      </w:r>
      <w:r>
        <w:t xml:space="preserve"> </w:t>
      </w:r>
      <w:r>
        <w:t xml:space="preserve">claim does not survive, can the same model be repaired by fine-tuning it on</w:t>
      </w:r>
      <w:r>
        <w:t xml:space="preserve"> </w:t>
      </w:r>
      <w:r>
        <w:t xml:space="preserve">speaker-diverse data, and at what cost?</w:t>
      </w:r>
    </w:p>
    <w:p>
      <w:pPr>
        <w:pStyle w:val="BodyText"/>
      </w:pPr>
      <w:r>
        <w:t xml:space="preserve">The answer to both, established empirically in this report, is: the claim</w:t>
      </w:r>
      <w:r>
        <w:t xml:space="preserve"> </w:t>
      </w:r>
      <w:r>
        <w:t xml:space="preserve">does not generalize (WER degrades from 4.91% in-domain to 62.30%</w:t>
      </w:r>
      <w:r>
        <w:t xml:space="preserve"> </w:t>
      </w:r>
      <w:r>
        <w:t xml:space="preserve">out-of-domain, a measurement independently confirming the audited 5.97%</w:t>
      </w:r>
      <w:r>
        <w:t xml:space="preserve"> </w:t>
      </w:r>
      <w:r>
        <w:t xml:space="preserve">figure is representative only of its narrow training distribution), and</w:t>
      </w:r>
      <w:r>
        <w:t xml:space="preserve"> </w:t>
      </w:r>
      <w:r>
        <w:t xml:space="preserve">fine-tuning on a 15-hour, 160-speaker, speaker-disjoint subset substantially</w:t>
      </w:r>
      <w:r>
        <w:t xml:space="preserve"> </w:t>
      </w:r>
      <w:r>
        <w:t xml:space="preserve">closes that gap (out-of-domain WER falls to 38.17%) at a disclosed cost to</w:t>
      </w:r>
      <w:r>
        <w:t xml:space="preserve"> </w:t>
      </w:r>
      <w:r>
        <w:t xml:space="preserve">in-domain performance (4.91% → 16.40%). A further ablation shows that</w:t>
      </w:r>
      <w:r>
        <w:t xml:space="preserve"> </w:t>
      </w:r>
      <w:r>
        <w:t xml:space="preserve">measuring this improvement without a speaker-disjoint train/test split would</w:t>
      </w:r>
      <w:r>
        <w:t xml:space="preserve"> </w:t>
      </w:r>
      <w:r>
        <w:t xml:space="preserve">have overstated the repair by roughly 5.6 percentage points — a methodological</w:t>
      </w:r>
      <w:r>
        <w:t xml:space="preserve"> </w:t>
      </w:r>
      <w:r>
        <w:t xml:space="preserve">finding as important as the headline result itself.</w:t>
      </w:r>
    </w:p>
    <w:bookmarkEnd w:id="9"/>
    <w:bookmarkStart w:id="10" w:name="related-work"/>
    <w:p>
      <w:pPr>
        <w:pStyle w:val="Heading2"/>
      </w:pPr>
      <w:r>
        <w:t xml:space="preserve">2. Related Work</w:t>
      </w:r>
    </w:p>
    <w:p>
      <w:pPr>
        <w:pStyle w:val="FirstParagraph"/>
      </w:pPr>
      <w:r>
        <w:rPr>
          <w:b/>
          <w:bCs/>
        </w:rPr>
        <w:t xml:space="preserve">XLS-R and cross-lingual speech representation.</w:t>
      </w:r>
      <w:r>
        <w:t xml:space="preserve"> </w:t>
      </w:r>
      <w:r>
        <w:t xml:space="preserve">XLS-R (Babu et al., 2021)</w:t>
      </w:r>
      <w:r>
        <w:t xml:space="preserve"> </w:t>
      </w:r>
      <w:r>
        <w:t xml:space="preserve">extends wav2vec2’s self-supervised pretraining objective across 128</w:t>
      </w:r>
      <w:r>
        <w:t xml:space="preserve"> </w:t>
      </w:r>
      <w:r>
        <w:t xml:space="preserve">languages and 436k hours of unlabelled speech, producing representations</w:t>
      </w:r>
      <w:r>
        <w:t xml:space="preserve"> </w:t>
      </w:r>
      <w:r>
        <w:t xml:space="preserve">that transfer well to low-resource languages via CTC fine-tuning on a</w:t>
      </w:r>
      <w:r>
        <w:t xml:space="preserve"> </w:t>
      </w:r>
      <w:r>
        <w:t xml:space="preserve">comparatively small amount of labelled data. This is the standard recipe for</w:t>
      </w:r>
      <w:r>
        <w:t xml:space="preserve"> </w:t>
      </w:r>
      <w:r>
        <w:t xml:space="preserve">low-resource ASR when end-to-end training from scratch is infeasible for lack</w:t>
      </w:r>
      <w:r>
        <w:t xml:space="preserve"> </w:t>
      </w:r>
      <w:r>
        <w:t xml:space="preserve">of data.</w:t>
      </w:r>
    </w:p>
    <w:p>
      <w:pPr>
        <w:pStyle w:val="BodyText"/>
      </w:pPr>
      <w:r>
        <w:rPr>
          <w:b/>
          <w:bCs/>
        </w:rPr>
        <w:t xml:space="preserve">Benchmark narrowness in low-resource ASR.</w:t>
      </w:r>
      <w:r>
        <w:t xml:space="preserve"> </w:t>
      </w:r>
      <w:r>
        <w:t xml:space="preserve">A recurring risk in</w:t>
      </w:r>
      <w:r>
        <w:t xml:space="preserve"> </w:t>
      </w:r>
      <w:r>
        <w:t xml:space="preserve">low-resource speech benchmarking is that available labelled corpora are</w:t>
      </w:r>
      <w:r>
        <w:t xml:space="preserve"> </w:t>
      </w:r>
      <w:r>
        <w:t xml:space="preserve">small enough to come from very few speakers, sometimes one. A WER measured</w:t>
      </w:r>
      <w:r>
        <w:t xml:space="preserve"> </w:t>
      </w:r>
      <w:r>
        <w:t xml:space="preserve">this way conflates</w:t>
      </w:r>
      <w:r>
        <w:t xml:space="preserve"> </w:t>
      </w:r>
      <w:r>
        <w:t xml:space="preserve">“the model transcribes Nepali well”</w:t>
      </w:r>
      <w:r>
        <w:t xml:space="preserve"> </w:t>
      </w:r>
      <w:r>
        <w:t xml:space="preserve">with</w:t>
      </w:r>
      <w:r>
        <w:t xml:space="preserve"> </w:t>
      </w:r>
      <w:r>
        <w:t xml:space="preserve">“the model has</w:t>
      </w:r>
      <w:r>
        <w:t xml:space="preserve"> </w:t>
      </w:r>
      <w:r>
        <w:t xml:space="preserve">partially memorized this speaker’s acoustic characteristics.”</w:t>
      </w:r>
      <w:r>
        <w:t xml:space="preserve"> </w:t>
      </w:r>
      <w:r>
        <w:t xml:space="preserve">The standard</w:t>
      </w:r>
      <w:r>
        <w:t xml:space="preserve"> </w:t>
      </w:r>
      <w:r>
        <w:t xml:space="preserve">mitigation in the wider ASR literature is a speaker-disjoint train/test</w:t>
      </w:r>
      <w:r>
        <w:t xml:space="preserve"> </w:t>
      </w:r>
      <w:r>
        <w:t xml:space="preserve">split — holding entire speakers out of training rather than splitting at the</w:t>
      </w:r>
      <w:r>
        <w:t xml:space="preserve"> </w:t>
      </w:r>
      <w:r>
        <w:t xml:space="preserve">utterance level — precisely because utterance-level splits let a model</w:t>
      </w:r>
      <w:r>
        <w:t xml:space="preserve"> </w:t>
      </w:r>
      <w:r>
        <w:t xml:space="preserve">exploit acoustic idiosyncrasies (accent, recording device, background noise</w:t>
      </w:r>
      <w:r>
        <w:t xml:space="preserve"> </w:t>
      </w:r>
      <w:r>
        <w:t xml:space="preserve">profile) that a genuinely unseen speaker would not share. Section 6 of this</w:t>
      </w:r>
      <w:r>
        <w:t xml:space="preserve"> </w:t>
      </w:r>
      <w:r>
        <w:t xml:space="preserve">report provides a direct, quantified demonstration of how much this</w:t>
      </w:r>
      <w:r>
        <w:t xml:space="preserve"> </w:t>
      </w:r>
      <w:r>
        <w:t xml:space="preserve">methodological choice matters for this specific audit.</w:t>
      </w:r>
    </w:p>
    <w:p>
      <w:pPr>
        <w:pStyle w:val="BodyText"/>
      </w:pPr>
      <w:r>
        <w:rPr>
          <w:b/>
          <w:bCs/>
        </w:rPr>
        <w:t xml:space="preserve">Deployment-oriented quantization.</w:t>
      </w:r>
      <w:r>
        <w:t xml:space="preserve"> </w:t>
      </w:r>
      <w:r>
        <w:t xml:space="preserve">Dynamic int8 quantization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torch.quantization.quantize_dynamic</w:t>
      </w:r>
      <w:r>
        <w:t xml:space="preserve">) is a common post-training</w:t>
      </w:r>
      <w:r>
        <w:t xml:space="preserve"> </w:t>
      </w:r>
      <w:r>
        <w:t xml:space="preserve">optimization for reducing model storage footprint without retraining, widely</w:t>
      </w:r>
      <w:r>
        <w:t xml:space="preserve"> </w:t>
      </w:r>
      <w:r>
        <w:t xml:space="preserve">used to make deployed models smaller. Its latency effect is</w:t>
      </w:r>
      <w:r>
        <w:t xml:space="preserve"> </w:t>
      </w:r>
      <w:r>
        <w:t xml:space="preserve">hardware-dependent: x86 platforms typically benefit from the</w:t>
      </w:r>
      <w:r>
        <w:t xml:space="preserve"> </w:t>
      </w:r>
      <w:r>
        <w:rPr>
          <w:rStyle w:val="VerbatimChar"/>
        </w:rPr>
        <w:t xml:space="preserve">fbgemm</w:t>
      </w:r>
      <w:r>
        <w:t xml:space="preserve"> </w:t>
      </w:r>
      <w:r>
        <w:t xml:space="preserve">backend’s optimized quantized kernels, while ARM/Apple Silicon platforms are</w:t>
      </w:r>
      <w:r>
        <w:t xml:space="preserve"> </w:t>
      </w:r>
      <w:r>
        <w:t xml:space="preserve">restricted to</w:t>
      </w:r>
      <w:r>
        <w:t xml:space="preserve"> </w:t>
      </w:r>
      <w:r>
        <w:rPr>
          <w:rStyle w:val="VerbatimChar"/>
        </w:rPr>
        <w:t xml:space="preserve">qnnpack</w:t>
      </w:r>
      <w:r>
        <w:t xml:space="preserve">, whose dynamic-quantization kernels do not</w:t>
      </w:r>
      <w:r>
        <w:t xml:space="preserve"> </w:t>
      </w:r>
      <w:r>
        <w:t xml:space="preserve">universally outperform native FP32 execution. Section 7 reports a direct</w:t>
      </w:r>
      <w:r>
        <w:t xml:space="preserve"> </w:t>
      </w:r>
      <w:r>
        <w:t xml:space="preserve">measurement of this trade-off on this project’s hardware.</w:t>
      </w:r>
    </w:p>
    <w:bookmarkEnd w:id="10"/>
    <w:bookmarkStart w:id="11" w:name="dataset"/>
    <w:p>
      <w:pPr>
        <w:pStyle w:val="Heading2"/>
      </w:pPr>
      <w:r>
        <w:t xml:space="preserve">3. Dataset</w:t>
      </w:r>
    </w:p>
    <w:p>
      <w:pPr>
        <w:pStyle w:val="FirstParagraph"/>
      </w:pPr>
      <w:r>
        <w:t xml:space="preserve">Two corpora are used throughout, and their results are never merged into a</w:t>
      </w:r>
      <w:r>
        <w:t xml:space="preserve"> </w:t>
      </w:r>
      <w:r>
        <w:t xml:space="preserve">single number.</w:t>
      </w:r>
    </w:p>
    <w:p>
      <w:pPr>
        <w:pStyle w:val="BodyText"/>
      </w:pPr>
      <w:r>
        <w:rPr>
          <w:b/>
          <w:bCs/>
        </w:rPr>
        <w:t xml:space="preserve">OpenSLR-43</w:t>
      </w:r>
      <w:r>
        <w:t xml:space="preserve"> </w:t>
      </w:r>
      <w:r>
        <w:t xml:space="preserve">(</w:t>
      </w:r>
      <w:r>
        <w:rPr>
          <w:rStyle w:val="VerbatimChar"/>
        </w:rPr>
        <w:t xml:space="preserve">gauravparajuli/slr43</w:t>
      </w:r>
      <w:r>
        <w:t xml:space="preserve"> </w:t>
      </w:r>
      <w:r>
        <w:t xml:space="preserve">on Hugging Face) is the audited</w:t>
      </w:r>
      <w:r>
        <w:t xml:space="preserve"> </w:t>
      </w:r>
      <w:r>
        <w:t xml:space="preserve">model’s own training corpus: a single-speaker (female), read-speech Nepali</w:t>
      </w:r>
      <w:r>
        <w:t xml:space="preserve"> </w:t>
      </w:r>
      <w:r>
        <w:t xml:space="preserve">dataset of 2,064 utterances. It has no separate held-out test split</w:t>
      </w:r>
      <w:r>
        <w:t xml:space="preserve"> </w:t>
      </w:r>
      <w:r>
        <w:t xml:space="preserve">upstream; this project measures a fixed, seeded 150-utterance slice as the</w:t>
      </w:r>
      <w:r>
        <w:t xml:space="preserve"> </w:t>
      </w:r>
      <w:r>
        <w:t xml:space="preserve">in-domain evaluation set throughout, for consistency across all reported</w:t>
      </w:r>
      <w:r>
        <w:t xml:space="preserve"> </w:t>
      </w:r>
      <w:r>
        <w:t xml:space="preserve">comparisons.</w:t>
      </w:r>
    </w:p>
    <w:p>
      <w:pPr>
        <w:pStyle w:val="BodyText"/>
      </w:pPr>
      <w:r>
        <w:rPr>
          <w:b/>
          <w:bCs/>
        </w:rPr>
        <w:t xml:space="preserve">OpenSLR-54</w:t>
      </w:r>
      <w:r>
        <w:t xml:space="preserve"> </w:t>
      </w:r>
      <w:r>
        <w:t xml:space="preserve">(Kjartansson et al., SLTU 2018) is a crowdsourced,</w:t>
      </w:r>
      <w:r>
        <w:t xml:space="preserve"> </w:t>
      </w:r>
      <w:r>
        <w:t xml:space="preserve">multi-speaker Nepali ASR corpus of 157,905 utterances, licensed CC BY-SA 4.0.</w:t>
      </w:r>
      <w:r>
        <w:t xml:space="preserve"> </w:t>
      </w:r>
      <w:r>
        <w:t xml:space="preserve">Because the full corpus is far larger than needed and downloading all of it</w:t>
      </w:r>
      <w:r>
        <w:t xml:space="preserve"> </w:t>
      </w:r>
      <w:r>
        <w:t xml:space="preserve">was neither necessary nor (in early attempts) fully reliable over the</w:t>
      </w:r>
      <w:r>
        <w:t xml:space="preserve"> </w:t>
      </w:r>
      <w:r>
        <w:t xml:space="preserve">available network connection, a subset was built: audio resampled to 16kHz</w:t>
      </w:r>
      <w:r>
        <w:t xml:space="preserve"> </w:t>
      </w:r>
      <w:r>
        <w:t xml:space="preserve">mono, transcripts NFC-normalized (Devanagari), utterances outside a 0.5–30</w:t>
      </w:r>
      <w:r>
        <w:t xml:space="preserve"> </w:t>
      </w:r>
      <w:r>
        <w:t xml:space="preserve">second duration window dropped, and a</w:t>
      </w:r>
      <w:r>
        <w:t xml:space="preserve"> </w:t>
      </w:r>
      <w:r>
        <w:rPr>
          <w:b/>
          <w:bCs/>
        </w:rPr>
        <w:t xml:space="preserve">speaker-disjoint</w:t>
      </w:r>
      <w:r>
        <w:t xml:space="preserve"> </w:t>
      </w:r>
      <w:r>
        <w:t xml:space="preserve">split constructed</w:t>
      </w:r>
      <w:r>
        <w:t xml:space="preserve"> </w:t>
      </w:r>
      <w:r>
        <w:t xml:space="preserve">by shuffling whole speakers (not individual utterances) into train/val/test</w:t>
      </w:r>
      <w:r>
        <w:t xml:space="preserve"> </w:t>
      </w:r>
      <w:r>
        <w:t xml:space="preserve">buckets until a 15-hour target was reached. The resulting subset comprises</w:t>
      </w:r>
      <w:r>
        <w:t xml:space="preserve"> </w:t>
      </w:r>
      <w:r>
        <w:rPr>
          <w:b/>
          <w:bCs/>
        </w:rPr>
        <w:t xml:space="preserve">15,171 utterances across 160 speakers, totalling 15.03 hours</w:t>
      </w:r>
      <w:r>
        <w:t xml:space="preserve"> </w:t>
      </w:r>
      <w:r>
        <w:t xml:space="preserve">— split</w:t>
      </w:r>
      <w:r>
        <w:t xml:space="preserve"> </w:t>
      </w:r>
      <w:r>
        <w:t xml:space="preserve">80/10/10 by speaker (train 12,119 / val 1,505 / test 1,547), with</w:t>
      </w:r>
      <w:r>
        <w:t xml:space="preserve"> </w:t>
      </w:r>
      <w:r>
        <w:rPr>
          <w:rStyle w:val="VerbatimChar"/>
        </w:rPr>
        <w:t xml:space="preserve">count_speaker_overlap()</w:t>
      </w:r>
      <w:r>
        <w:t xml:space="preserve"> </w:t>
      </w:r>
      <w:r>
        <w:t xml:space="preserve">confirming</w:t>
      </w:r>
      <w:r>
        <w:t xml:space="preserve"> </w:t>
      </w:r>
      <w:r>
        <w:rPr>
          <w:b/>
          <w:bCs/>
        </w:rPr>
        <w:t xml:space="preserve">zero speakers shared across splits</w:t>
      </w:r>
      <w:r>
        <w:t xml:space="preserve">.</w:t>
      </w:r>
    </w:p>
    <w:p>
      <w:pPr>
        <w:pStyle w:val="BodyText"/>
      </w:pPr>
      <w:r>
        <w:t xml:space="preserve">OpenSLR-54 ships no demographic metadata of any kind — only audio, transcript,</w:t>
      </w:r>
      <w:r>
        <w:t xml:space="preserve"> </w:t>
      </w:r>
      <w:r>
        <w:t xml:space="preserve">and an opaque speaker ID. Since one of the roadmap’s earlier directions</w:t>
      </w:r>
      <w:r>
        <w:t xml:space="preserve"> </w:t>
      </w:r>
      <w:r>
        <w:t xml:space="preserve">called for a speaker-gender field, and no such field exists in the source</w:t>
      </w:r>
      <w:r>
        <w:t xml:space="preserve"> </w:t>
      </w:r>
      <w:r>
        <w:t xml:space="preserve">data, a</w:t>
      </w:r>
      <w:r>
        <w:t xml:space="preserve"> </w:t>
      </w:r>
      <w:r>
        <w:rPr>
          <w:b/>
          <w:bCs/>
        </w:rPr>
        <w:t xml:space="preserve">gender pseudo-label</w:t>
      </w:r>
      <w:r>
        <w:t xml:space="preserve"> </w:t>
      </w:r>
      <w:r>
        <w:t xml:space="preserve">was derived per speaker from mean</w:t>
      </w:r>
      <w:r>
        <w:t xml:space="preserve"> </w:t>
      </w:r>
      <w:r>
        <w:t xml:space="preserve">fundamental frequency (F0), estimated via</w:t>
      </w:r>
      <w:r>
        <w:t xml:space="preserve"> </w:t>
      </w:r>
      <w:r>
        <w:rPr>
          <w:rStyle w:val="VerbatimChar"/>
        </w:rPr>
        <w:t xml:space="preserve">librosa.pyin</w:t>
      </w:r>
      <w:r>
        <w:t xml:space="preserve"> </w:t>
      </w:r>
      <w:r>
        <w:t xml:space="preserve">and thresholded at</w:t>
      </w:r>
      <w:r>
        <w:t xml:space="preserve"> </w:t>
      </w:r>
      <w:r>
        <w:t xml:space="preserve">165Hz (below → male, above → female — the standard heuristic midpoint</w:t>
      </w:r>
      <w:r>
        <w:t xml:space="preserve"> </w:t>
      </w:r>
      <w:r>
        <w:t xml:space="preserve">between typical adult male ~85–180Hz and female ~165–255Hz pitch ranges).</w:t>
      </w:r>
      <w:r>
        <w:t xml:space="preserve"> </w:t>
      </w:r>
      <w:r>
        <w:t xml:space="preserve">This label is used only for the descriptive per-group breakdown in Section</w:t>
      </w:r>
      <w:r>
        <w:t xml:space="preserve"> </w:t>
      </w:r>
      <w:r>
        <w:t xml:space="preserve">6.3 and is labelled there, and everywhere else it appears, as a</w:t>
      </w:r>
      <w:r>
        <w:t xml:space="preserve"> </w:t>
      </w:r>
      <w:r>
        <w:rPr>
          <w:b/>
          <w:bCs/>
        </w:rPr>
        <w:t xml:space="preserve">pitch</w:t>
      </w:r>
      <w:r>
        <w:rPr>
          <w:b/>
          <w:bCs/>
        </w:rPr>
        <w:t xml:space="preserve"> </w:t>
      </w:r>
      <w:r>
        <w:rPr>
          <w:b/>
          <w:bCs/>
        </w:rPr>
        <w:t xml:space="preserve">threshold pseudo-label, not verified ground truth</w:t>
      </w:r>
      <w:r>
        <w:t xml:space="preserve"> </w:t>
      </w:r>
      <w:r>
        <w:t xml:space="preserve">— a distinction load-bearing</w:t>
      </w:r>
      <w:r>
        <w:t xml:space="preserve"> </w:t>
      </w:r>
      <w:r>
        <w:t xml:space="preserve">enough to affect how that specific result should be read, not a stylistic</w:t>
      </w:r>
      <w:r>
        <w:t xml:space="preserve"> </w:t>
      </w:r>
      <w:r>
        <w:t xml:space="preserve">footnote.</w:t>
      </w:r>
    </w:p>
    <w:bookmarkEnd w:id="11"/>
    <w:bookmarkStart w:id="15" w:name="method"/>
    <w:p>
      <w:pPr>
        <w:pStyle w:val="Heading2"/>
      </w:pPr>
      <w:r>
        <w:t xml:space="preserve">4. Method</w:t>
      </w:r>
    </w:p>
    <w:bookmarkStart w:id="12" w:name="algorithm-selection"/>
    <w:p>
      <w:pPr>
        <w:pStyle w:val="Heading3"/>
      </w:pPr>
      <w:r>
        <w:t xml:space="preserve">4.1 Algorithm selection</w:t>
      </w:r>
    </w:p>
    <w:p>
      <w:pPr>
        <w:pStyle w:val="FirstParagraph"/>
      </w:pPr>
      <w:r>
        <w:t xml:space="preserve">This project fine-tunes the</w:t>
      </w:r>
      <w:r>
        <w:t xml:space="preserve"> </w:t>
      </w:r>
      <w:r>
        <w:rPr>
          <w:b/>
          <w:bCs/>
        </w:rPr>
        <w:t xml:space="preserve">audited checkpoint itself</w:t>
      </w:r>
      <w:r>
        <w:t xml:space="preserve"> </w:t>
      </w:r>
      <w:r>
        <w:t xml:space="preserve">(</w:t>
      </w:r>
      <w:r>
        <w:rPr>
          <w:rStyle w:val="VerbatimChar"/>
        </w:rPr>
        <w:t xml:space="preserve">gagan3012/wav2vec2-xlsr-nepali</w:t>
      </w:r>
      <w:r>
        <w:t xml:space="preserve">) rather than a different model or a</w:t>
      </w:r>
      <w:r>
        <w:t xml:space="preserve"> </w:t>
      </w:r>
      <w:r>
        <w:t xml:space="preserve">freshly-initialized XLS-R backbone. This is a deliberate choice, not a</w:t>
      </w:r>
      <w:r>
        <w:t xml:space="preserve"> </w:t>
      </w:r>
      <w:r>
        <w:t xml:space="preserve">default: the research question is whether</w:t>
      </w:r>
      <w:r>
        <w:t xml:space="preserve"> </w:t>
      </w:r>
      <w:r>
        <w:rPr>
          <w:i/>
          <w:iCs/>
        </w:rPr>
        <w:t xml:space="preserve">this model’s</w:t>
      </w:r>
      <w:r>
        <w:t xml:space="preserve"> </w:t>
      </w:r>
      <w:r>
        <w:t xml:space="preserve">generalization</w:t>
      </w:r>
      <w:r>
        <w:t xml:space="preserve"> </w:t>
      </w:r>
      <w:r>
        <w:t xml:space="preserve">failure is caused by training-data narrowness, and answering that requires</w:t>
      </w:r>
      <w:r>
        <w:t xml:space="preserve"> </w:t>
      </w:r>
      <w:r>
        <w:t xml:space="preserve">holding architecture, vocabulary, and decoding constant while varying only</w:t>
      </w:r>
      <w:r>
        <w:t xml:space="preserve"> </w:t>
      </w:r>
      <w:r>
        <w:t xml:space="preserve">the training data’s speaker diversity. Introducing a different architecture</w:t>
      </w:r>
      <w:r>
        <w:t xml:space="preserve"> </w:t>
      </w:r>
      <w:r>
        <w:t xml:space="preserve">(e.g. Whisper, an earlier direction explored and then abandoned for this</w:t>
      </w:r>
      <w:r>
        <w:t xml:space="preserve"> </w:t>
      </w:r>
      <w:r>
        <w:t xml:space="preserve">reason) would confound any improvement — it could no longer be attributed</w:t>
      </w:r>
      <w:r>
        <w:t xml:space="preserve"> </w:t>
      </w:r>
      <w:r>
        <w:t xml:space="preserve">cleanly to the data intervention. Training a fresh XLS-R backbone from</w:t>
      </w:r>
      <w:r>
        <w:t xml:space="preserve"> </w:t>
      </w:r>
      <w:r>
        <w:rPr>
          <w:rStyle w:val="VerbatimChar"/>
        </w:rPr>
        <w:t xml:space="preserve">facebook/wav2vec2-xls-r-300m</w:t>
      </w:r>
      <w:r>
        <w:t xml:space="preserve"> </w:t>
      </w:r>
      <w:r>
        <w:t xml:space="preserve">was considered and rejected for the same</w:t>
      </w:r>
      <w:r>
        <w:t xml:space="preserve"> </w:t>
      </w:r>
      <w:r>
        <w:t xml:space="preserve">reason: it would test a different, looser hypothesis (</w:t>
      </w:r>
      <w:r>
        <w:t xml:space="preserve">“can speaker-diverse</w:t>
      </w:r>
      <w:r>
        <w:t xml:space="preserve"> </w:t>
      </w:r>
      <w:r>
        <w:t xml:space="preserve">data alone produce a good Nepali model from generic multilingual</w:t>
      </w:r>
      <w:r>
        <w:t xml:space="preserve"> </w:t>
      </w:r>
      <w:r>
        <w:t xml:space="preserve">pretraining”</w:t>
      </w:r>
      <w:r>
        <w:t xml:space="preserve">) rather than the one this report is about (</w:t>
      </w:r>
      <w:r>
        <w:t xml:space="preserve">“can this specific</w:t>
      </w:r>
      <w:r>
        <w:t xml:space="preserve"> </w:t>
      </w:r>
      <w:r>
        <w:t xml:space="preserve">published model be repaired”</w:t>
      </w:r>
      <w:r>
        <w:t xml:space="preserve">).</w:t>
      </w:r>
    </w:p>
    <w:p>
      <w:pPr>
        <w:pStyle w:val="BodyText"/>
      </w:pPr>
      <w:r>
        <w:t xml:space="preserve">Training from scratch was never a serious option: 15 hours of labelled audio</w:t>
      </w:r>
      <w:r>
        <w:t xml:space="preserve"> </w:t>
      </w:r>
      <w:r>
        <w:t xml:space="preserve">is roughly two orders of magnitude short of what training a competitive</w:t>
      </w:r>
      <w:r>
        <w:t xml:space="preserve"> </w:t>
      </w:r>
      <w:r>
        <w:t xml:space="preserve">speech model from random initialization requires. Whisper and Meta’s MMS</w:t>
      </w:r>
      <w:r>
        <w:t xml:space="preserve"> </w:t>
      </w:r>
      <w:r>
        <w:t xml:space="preserve">were both considered and rejected as the primary fine-tuning target for the</w:t>
      </w:r>
      <w:r>
        <w:t xml:space="preserve"> </w:t>
      </w:r>
      <w:r>
        <w:t xml:space="preserve">architecture-confound reason above; MMS’s Nepali path is also CTC-based, so</w:t>
      </w:r>
      <w:r>
        <w:t xml:space="preserve"> </w:t>
      </w:r>
      <w:r>
        <w:t xml:space="preserve">it would not even test a materially different hypothesis.</w:t>
      </w:r>
    </w:p>
    <w:bookmarkEnd w:id="12"/>
    <w:bookmarkStart w:id="13" w:name="fine-tuning-configuration"/>
    <w:p>
      <w:pPr>
        <w:pStyle w:val="Heading3"/>
      </w:pPr>
      <w:r>
        <w:t xml:space="preserve">4.2 Fine-tuning configuration</w:t>
      </w:r>
    </w:p>
    <w:p>
      <w:pPr>
        <w:pStyle w:val="FirstParagraph"/>
      </w:pPr>
      <w:r>
        <w:t xml:space="preserve">The checkpoint’s convolutional feature encoder was frozen</w:t>
      </w:r>
      <w:r>
        <w:t xml:space="preserve"> </w:t>
      </w:r>
      <w:r>
        <w:t xml:space="preserve">(</w:t>
      </w:r>
      <w:r>
        <w:rPr>
          <w:rStyle w:val="VerbatimChar"/>
        </w:rPr>
        <w:t xml:space="preserve">freeze_feature_encoder()</w:t>
      </w:r>
      <w:r>
        <w:t xml:space="preserve">), following standard wav2vec2 fine-tuning</w:t>
      </w:r>
      <w:r>
        <w:t xml:space="preserve"> </w:t>
      </w:r>
      <w:r>
        <w:t xml:space="preserve">practice — that component is pretrained on far more audio than this</w:t>
      </w:r>
      <w:r>
        <w:t xml:space="preserve"> </w:t>
      </w:r>
      <w:r>
        <w:t xml:space="preserve">project’s 15-hour subset provides, and freezing it reduces overfitting risk</w:t>
      </w:r>
      <w:r>
        <w:t xml:space="preserve"> </w:t>
      </w:r>
      <w:r>
        <w:t xml:space="preserve">while leaving the transformer encoder and CTC head trainable. Training used</w:t>
      </w:r>
      <w:r>
        <w:t xml:space="preserve"> </w:t>
      </w:r>
      <w:r>
        <w:t xml:space="preserve">AdamW (via the Hugging Face</w:t>
      </w:r>
      <w:r>
        <w:t xml:space="preserve"> </w:t>
      </w:r>
      <w:r>
        <w:rPr>
          <w:rStyle w:val="VerbatimChar"/>
        </w:rPr>
        <w:t xml:space="preserve">Trainer</w:t>
      </w:r>
      <w:r>
        <w:t xml:space="preserve"> </w:t>
      </w:r>
      <w:r>
        <w:t xml:space="preserve">default), a learning rate of 3×10⁻⁵</w:t>
      </w:r>
      <w:r>
        <w:t xml:space="preserve"> </w:t>
      </w:r>
      <w:r>
        <w:t xml:space="preserve">with 500 warmup steps (deliberately low, since this continues fine-tuning an</w:t>
      </w:r>
      <w:r>
        <w:t xml:space="preserve"> </w:t>
      </w:r>
      <w:r>
        <w:t xml:space="preserve">already Nepali-adapted checkpoint rather than adapting a generic one),</w:t>
      </w:r>
      <w:r>
        <w:t xml:space="preserve"> </w:t>
      </w:r>
      <w:r>
        <w:t xml:space="preserve">batch size 2 with gradient accumulation 4 (effective batch 8), FP16 where</w:t>
      </w:r>
      <w:r>
        <w:t xml:space="preserve"> </w:t>
      </w:r>
      <w:r>
        <w:t xml:space="preserve">CUDA is available and FP32 otherwise, a 5-epoch ceiling, and early stopping</w:t>
      </w:r>
      <w:r>
        <w:t xml:space="preserve"> </w:t>
      </w:r>
      <w:r>
        <w:t xml:space="preserve">with patience 2 on validation WER (</w:t>
      </w:r>
      <w:r>
        <w:rPr>
          <w:rStyle w:val="VerbatimChar"/>
        </w:rPr>
        <w:t xml:space="preserve">load_best_model_at_end=True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metric_for_best_model="wer"</w:t>
      </w:r>
      <w:r>
        <w:t xml:space="preserve">). Experiment tracking used</w:t>
      </w:r>
      <w:r>
        <w:t xml:space="preserve"> </w:t>
      </w:r>
      <w:r>
        <w:rPr>
          <w:b/>
          <w:bCs/>
        </w:rPr>
        <w:t xml:space="preserve">MLflow</w:t>
      </w:r>
      <w:r>
        <w:t xml:space="preserve"> </w:t>
      </w:r>
      <w:r>
        <w:t xml:space="preserve">(a local</w:t>
      </w:r>
      <w:r>
        <w:t xml:space="preserve"> </w:t>
      </w:r>
      <w:r>
        <w:rPr>
          <w:rStyle w:val="VerbatimChar"/>
        </w:rPr>
        <w:t xml:space="preserve">mlruns/</w:t>
      </w:r>
      <w:r>
        <w:t xml:space="preserve"> </w:t>
      </w:r>
      <w:r>
        <w:t xml:space="preserve">store; TensorBoard was used in an earlier iteration of this project</w:t>
      </w:r>
      <w:r>
        <w:t xml:space="preserve"> </w:t>
      </w:r>
      <w:r>
        <w:t xml:space="preserve">and was replaced) — every training and evaluation run in this report is</w:t>
      </w:r>
      <w:r>
        <w:t xml:space="preserve"> </w:t>
      </w:r>
      <w:r>
        <w:t xml:space="preserve">logged there with its parameters and metrics.</w:t>
      </w:r>
    </w:p>
    <w:p>
      <w:pPr>
        <w:pStyle w:val="BodyText"/>
      </w:pPr>
      <w:r>
        <w:t xml:space="preserve">Two practical obstacles were resolved during this work and are recorded</w:t>
      </w:r>
      <w:r>
        <w:t xml:space="preserve"> </w:t>
      </w:r>
      <w:r>
        <w:t xml:space="preserve">because they affect reproducibility on similar hardware. First, dynamic int8</w:t>
      </w:r>
      <w:r>
        <w:t xml:space="preserve"> </w:t>
      </w:r>
      <w:r>
        <w:t xml:space="preserve">quantization (Section 7) fails outright on Apple Silicon with</w:t>
      </w:r>
      <w:r>
        <w:t xml:space="preserve"> </w:t>
      </w:r>
      <w:r>
        <w:rPr>
          <w:rStyle w:val="VerbatimChar"/>
        </w:rPr>
        <w:t xml:space="preserve">RuntimeError: Didn't find engine for operation ... NoQEngine</w:t>
      </w:r>
      <w:r>
        <w:t xml:space="preserve"> </w:t>
      </w:r>
      <w:r>
        <w:t xml:space="preserve">unless</w:t>
      </w:r>
      <w:r>
        <w:t xml:space="preserve"> </w:t>
      </w:r>
      <w:r>
        <w:rPr>
          <w:rStyle w:val="VerbatimChar"/>
        </w:rPr>
        <w:t xml:space="preserve">torch.backends.quantized.engine</w:t>
      </w:r>
      <w:r>
        <w:t xml:space="preserve"> </w:t>
      </w:r>
      <w:r>
        <w:t xml:space="preserve">is explicitly set to</w:t>
      </w:r>
      <w:r>
        <w:t xml:space="preserve"> </w:t>
      </w:r>
      <w:r>
        <w:rPr>
          <w:rStyle w:val="VerbatimChar"/>
        </w:rPr>
        <w:t xml:space="preserve">"qnnpack"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fbgemm</w:t>
      </w:r>
      <w:r>
        <w:t xml:space="preserve"> </w:t>
      </w:r>
      <w:r>
        <w:t xml:space="preserve">backend PyTorch defaults to is an x86-only build. Second, a genuine</w:t>
      </w:r>
      <w:r>
        <w:t xml:space="preserve"> </w:t>
      </w:r>
      <w:r>
        <w:t xml:space="preserve">out-of-memory crash occurred partway through the first full training run</w:t>
      </w:r>
      <w:r>
        <w:t xml:space="preserve"> </w:t>
      </w:r>
      <w:r>
        <w:t xml:space="preserve">(MPS reporting 17GB allocated); this was fixed by adding a callback that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torch.mps.empty_cache()</w:t>
      </w:r>
      <w:r>
        <w:t xml:space="preserve"> </w:t>
      </w:r>
      <w:r>
        <w:t xml:space="preserve">periodically during training, and training</w:t>
      </w:r>
      <w:r>
        <w:t xml:space="preserve"> </w:t>
      </w:r>
      <w:r>
        <w:t xml:space="preserve">resumed cleanly from the last saved epoch checkpoint with no further issues.</w:t>
      </w:r>
      <w:r>
        <w:t xml:space="preserve"> </w:t>
      </w:r>
      <w:r>
        <w:t xml:space="preserve">Training itself ran locally on Apple Silicon CPU/MPS (no CUDA available on</w:t>
      </w:r>
      <w:r>
        <w:t xml:space="preserve"> </w:t>
      </w:r>
      <w:r>
        <w:t xml:space="preserve">this machine) after an earlier plan to use Google Colab or Kaggle for a</w:t>
      </w:r>
      <w:r>
        <w:t xml:space="preserve"> </w:t>
      </w:r>
      <w:r>
        <w:t xml:space="preserve">cloud GPU was set aside in favour of local, fully offline execution; the</w:t>
      </w:r>
      <w:r>
        <w:t xml:space="preserve"> </w:t>
      </w:r>
      <w:r>
        <w:t xml:space="preserve">full 5-epoch run took approximately 7 hours 40 minutes wall-clock.</w:t>
      </w:r>
    </w:p>
    <w:bookmarkEnd w:id="13"/>
    <w:bookmarkStart w:id="14" w:name="evaluation-methodology"/>
    <w:p>
      <w:pPr>
        <w:pStyle w:val="Heading3"/>
      </w:pPr>
      <w:r>
        <w:t xml:space="preserve">4.3 Evaluation methodology</w:t>
      </w:r>
    </w:p>
    <w:p>
      <w:pPr>
        <w:pStyle w:val="FirstParagraph"/>
      </w:pPr>
      <w:r>
        <w:t xml:space="preserve">Every WER/CER comparison in this report uses the same procedure and the same</w:t>
      </w:r>
      <w:r>
        <w:t xml:space="preserve"> </w:t>
      </w:r>
      <w:r>
        <w:t xml:space="preserve">150-utterance seeded sample from each corpus (seed 42), so that numbers</w:t>
      </w:r>
      <w:r>
        <w:t xml:space="preserve"> </w:t>
      </w:r>
      <w:r>
        <w:t xml:space="preserve">across sections are directly comparable: a fixed slice of OpenSLR-43 for</w:t>
      </w:r>
      <w:r>
        <w:t xml:space="preserve"> </w:t>
      </w:r>
      <w:r>
        <w:t xml:space="preserve">in-domain measurement, and a seeded shuffle of OpenSLR-54’s speaker-disjoint</w:t>
      </w:r>
      <w:r>
        <w:t xml:space="preserve"> </w:t>
      </w:r>
      <w:r>
        <w:t xml:space="preserve">test split for out-of-domain measurement. (OpenSLR-54’s test manifest is</w:t>
      </w:r>
      <w:r>
        <w:t xml:space="preserve"> </w:t>
      </w:r>
      <w:r>
        <w:t xml:space="preserve">speaker-ordered on disk; a naive unsuffled slice was found early in this</w:t>
      </w:r>
      <w:r>
        <w:t xml:space="preserve"> </w:t>
      </w:r>
      <w:r>
        <w:t xml:space="preserve">project to land on a single-gender-pseudo-label subset of speakers by</w:t>
      </w:r>
      <w:r>
        <w:t xml:space="preserve"> </w:t>
      </w:r>
      <w:r>
        <w:t xml:space="preserve">chance — the seeded shuffle exists specifically to avoid that failure mode</w:t>
      </w:r>
      <w:r>
        <w:t xml:space="preserve"> </w:t>
      </w:r>
      <w:r>
        <w:t xml:space="preserve">recurring.) WER and CER are computed via</w:t>
      </w:r>
      <w:r>
        <w:t xml:space="preserve"> </w:t>
      </w:r>
      <w:r>
        <w:rPr>
          <w:rStyle w:val="VerbatimChar"/>
        </w:rPr>
        <w:t xml:space="preserve">jiwer</w:t>
      </w:r>
      <w:r>
        <w:t xml:space="preserve"> </w:t>
      </w:r>
      <w:r>
        <w:t xml:space="preserve">after identical text</w:t>
      </w:r>
      <w:r>
        <w:t xml:space="preserve"> </w:t>
      </w:r>
      <w:r>
        <w:t xml:space="preserve">normalization on both reference and hypothesis.</w:t>
      </w:r>
    </w:p>
    <w:bookmarkEnd w:id="14"/>
    <w:bookmarkEnd w:id="15"/>
    <w:bookmarkStart w:id="16" w:name="experimental-setup"/>
    <w:p>
      <w:pPr>
        <w:pStyle w:val="Heading2"/>
      </w:pPr>
      <w:r>
        <w:t xml:space="preserve">5. Experimental Setup</w:t>
      </w:r>
    </w:p>
    <w:p>
      <w:pPr>
        <w:pStyle w:val="FirstParagraph"/>
      </w:pPr>
      <w:r>
        <w:t xml:space="preserve">All experiments ran on a local machine (Apple Silicon, macOS, no CUDA), in a</w:t>
      </w:r>
      <w:r>
        <w:t xml:space="preserve"> </w:t>
      </w:r>
      <w:r>
        <w:t xml:space="preserve">dedicated conda environment (Python 3.11), with dependencies pinned in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.</w:t>
      </w:r>
      <w:r>
        <w:t xml:space="preserve"> </w:t>
      </w:r>
      <w:r>
        <w:rPr>
          <w:rStyle w:val="VerbatimChar"/>
        </w:rPr>
        <w:t xml:space="preserve">torch</w:t>
      </w:r>
      <w:r>
        <w:t xml:space="preserve">/</w:t>
      </w:r>
      <w:r>
        <w:rPr>
          <w:rStyle w:val="VerbatimChar"/>
        </w:rPr>
        <w:t xml:space="preserve">torchaudio</w:t>
      </w:r>
      <w:r>
        <w:t xml:space="preserve"> </w:t>
      </w:r>
      <w:r>
        <w:t xml:space="preserve">are installed separately from the</w:t>
      </w:r>
      <w:r>
        <w:t xml:space="preserve"> </w:t>
      </w:r>
      <w:r>
        <w:t xml:space="preserve">pinned requirements file, since a cloud GPU runtime (Colab/Kaggle) would ship</w:t>
      </w:r>
      <w:r>
        <w:t xml:space="preserve"> </w:t>
      </w:r>
      <w:r>
        <w:t xml:space="preserve">its own CUDA-matched build; this project ultimately trained entirely</w:t>
      </w:r>
      <w:r>
        <w:t xml:space="preserve"> </w:t>
      </w:r>
      <w:r>
        <w:t xml:space="preserve">locally. All datasets, model checkpoints, and code referenced in this report</w:t>
      </w:r>
      <w:r>
        <w:t xml:space="preserve"> </w:t>
      </w:r>
      <w:r>
        <w:t xml:space="preserve">are drawn from the project repository’s</w:t>
      </w:r>
      <w:r>
        <w:t xml:space="preserve"> </w:t>
      </w:r>
      <w:r>
        <w:rPr>
          <w:rStyle w:val="VerbatimChar"/>
        </w:rPr>
        <w:t xml:space="preserve">coursework-10phase</w:t>
      </w:r>
      <w:r>
        <w:t xml:space="preserve"> </w:t>
      </w:r>
      <w:r>
        <w:t xml:space="preserve">branch and are</w:t>
      </w:r>
      <w:r>
        <w:t xml:space="preserve"> </w:t>
      </w:r>
      <w:r>
        <w:t xml:space="preserve">reproducible from the commit history there.</w:t>
      </w:r>
    </w:p>
    <w:bookmarkEnd w:id="16"/>
    <w:bookmarkStart w:id="22" w:name="results"/>
    <w:p>
      <w:pPr>
        <w:pStyle w:val="Heading2"/>
      </w:pPr>
      <w:r>
        <w:t xml:space="preserve">6. Results</w:t>
      </w:r>
    </w:p>
    <w:bookmarkStart w:id="17" w:name="X93e105eb6ee9238fa282d2931e5166b3b54e5a6"/>
    <w:p>
      <w:pPr>
        <w:pStyle w:val="Heading3"/>
      </w:pPr>
      <w:r>
        <w:t xml:space="preserve">6.1 The audit: does the published claim generalize?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Evaluation</w:t>
            </w:r>
          </w:p>
        </w:tc>
        <w:tc>
          <w:tcPr/>
          <w:p>
            <w:pPr>
              <w:pStyle w:val="Compact"/>
            </w:pPr>
            <w:r>
              <w:t xml:space="preserve">WER</w:t>
            </w:r>
          </w:p>
        </w:tc>
        <w:tc>
          <w:tcPr/>
          <w:p>
            <w:pPr>
              <w:pStyle w:val="Compact"/>
            </w:pPr>
            <w:r>
              <w:t xml:space="preserve">CER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Self-reported (published)</w:t>
            </w:r>
          </w:p>
        </w:tc>
        <w:tc>
          <w:tcPr/>
          <w:p>
            <w:pPr>
              <w:pStyle w:val="Compact"/>
            </w:pPr>
            <w:r>
              <w:t xml:space="preserve">5.97%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Measured, in-domain (OpenSLR-43, this project)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4.91%</w:t>
            </w:r>
          </w:p>
        </w:tc>
        <w:tc>
          <w:tcPr/>
          <w:p>
            <w:pPr>
              <w:pStyle w:val="Compact"/>
            </w:pPr>
            <w:r>
              <w:t xml:space="preserve">0.87%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Measured, out-of-domain (OpenSLR-54 speaker-disjoint test)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62.30%</w:t>
            </w:r>
          </w:p>
        </w:tc>
        <w:tc>
          <w:tcPr/>
          <w:p>
            <w:pPr>
              <w:pStyle w:val="Compact"/>
            </w:pPr>
            <w:r>
              <w:t xml:space="preserve">17.38%</w:t>
            </w:r>
          </w:p>
        </w:tc>
      </w:tr>
    </w:tbl>
    <w:p>
      <w:pPr>
        <w:pStyle w:val="BodyText"/>
      </w:pPr>
      <w:r>
        <w:t xml:space="preserve">The in-domain measurement is close to (marginally better than) the published</w:t>
      </w:r>
      <w:r>
        <w:t xml:space="preserve"> </w:t>
      </w:r>
      <w:r>
        <w:t xml:space="preserve">figure, confirming no discrepancy on the model’s own distribution. The</w:t>
      </w:r>
      <w:r>
        <w:t xml:space="preserve"> </w:t>
      </w:r>
      <w:r>
        <w:t xml:space="preserve">out-of-domain measurement is more than twelve times worse. This is the</w:t>
      </w:r>
      <w:r>
        <w:t xml:space="preserve"> </w:t>
      </w:r>
      <w:r>
        <w:t xml:space="preserve">audit’s central finding: the published number is an accurate description of</w:t>
      </w:r>
      <w:r>
        <w:t xml:space="preserve"> </w:t>
      </w:r>
      <w:r>
        <w:t xml:space="preserve">performance on narrow, single-speaker data and a highly misleading</w:t>
      </w:r>
      <w:r>
        <w:t xml:space="preserve"> </w:t>
      </w:r>
      <w:r>
        <w:t xml:space="preserve">description of performance on diverse speech.</w:t>
      </w:r>
    </w:p>
    <w:bookmarkEnd w:id="17"/>
    <w:bookmarkStart w:id="18" w:name="X4680b7618c2c1fd965b7c7460ec88f1ab4c85f5"/>
    <w:p>
      <w:pPr>
        <w:pStyle w:val="Heading3"/>
      </w:pPr>
      <w:r>
        <w:t xml:space="preserve">6.2 Fine-tuning: does repair work, and at what cost?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Checkpoint</w:t>
            </w:r>
          </w:p>
        </w:tc>
        <w:tc>
          <w:tcPr/>
          <w:p>
            <w:pPr>
              <w:pStyle w:val="Compact"/>
            </w:pPr>
            <w:r>
              <w:t xml:space="preserve">In-domain (OpenSLR-43)</w:t>
            </w:r>
          </w:p>
        </w:tc>
        <w:tc>
          <w:tcPr/>
          <w:p>
            <w:pPr>
              <w:pStyle w:val="Compact"/>
            </w:pPr>
            <w:r>
              <w:t xml:space="preserve">Out-of-domain (OpenSLR-54)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4.91% WER</w:t>
            </w:r>
          </w:p>
        </w:tc>
        <w:tc>
          <w:tcPr/>
          <w:p>
            <w:pPr>
              <w:pStyle w:val="Compact"/>
            </w:pPr>
            <w:r>
              <w:t xml:space="preserve">62.30% 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Fine-tuned (speaker-disjoint, 5 epochs)</w:t>
            </w:r>
          </w:p>
        </w:tc>
        <w:tc>
          <w:tcPr/>
          <w:p>
            <w:pPr>
              <w:pStyle w:val="Compact"/>
            </w:pPr>
            <w:r>
              <w:t xml:space="preserve">16.40% WER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38.17% WER</w:t>
            </w:r>
          </w:p>
        </w:tc>
      </w:tr>
    </w:tbl>
    <w:p>
      <w:pPr>
        <w:pStyle w:val="BodyText"/>
      </w:pPr>
      <w:r>
        <w:t xml:space="preserve">Fine-tuning on the speaker-diverse subset reduces out-of-domain WER by</w:t>
      </w:r>
      <w:r>
        <w:t xml:space="preserve"> </w:t>
      </w:r>
      <w:r>
        <w:t xml:space="preserve">roughly 39% relative (62.30% → 38.17%), directly supporting the hypothesis</w:t>
      </w:r>
      <w:r>
        <w:t xml:space="preserve"> </w:t>
      </w:r>
      <w:r>
        <w:t xml:space="preserve">that training-data narrowness, not an architectural limitation, is</w:t>
      </w:r>
      <w:r>
        <w:t xml:space="preserve"> </w:t>
      </w:r>
      <w:r>
        <w:t xml:space="preserve">responsible for the original generalization failure. The cost is real and</w:t>
      </w:r>
      <w:r>
        <w:t xml:space="preserve"> </w:t>
      </w:r>
      <w:r>
        <w:t xml:space="preserve">disclosed rather than minimised: in-domain WER more than triples (4.91% →</w:t>
      </w:r>
      <w:r>
        <w:t xml:space="preserve"> </w:t>
      </w:r>
      <w:r>
        <w:t xml:space="preserve">16.40%). Five epochs of continued fine-tuning on a differently-distributed</w:t>
      </w:r>
      <w:r>
        <w:t xml:space="preserve"> </w:t>
      </w:r>
      <w:r>
        <w:t xml:space="preserve">corpus mildly erodes the sharp specialisation the model had to its original</w:t>
      </w:r>
      <w:r>
        <w:t xml:space="preserve"> </w:t>
      </w:r>
      <w:r>
        <w:t xml:space="preserve">narrow training data — an expected trade-off, not a defect, and one that</w:t>
      </w:r>
      <w:r>
        <w:t xml:space="preserve"> </w:t>
      </w:r>
      <w:r>
        <w:t xml:space="preserve">should inform any decision about which checkpoint to deploy depending on the</w:t>
      </w:r>
      <w:r>
        <w:t xml:space="preserve"> </w:t>
      </w:r>
      <w:r>
        <w:t xml:space="preserve">target population of speakers.</w:t>
      </w:r>
    </w:p>
    <w:p>
      <w:pPr>
        <w:pStyle w:val="BodyText"/>
      </w:pPr>
      <w:r>
        <w:t xml:space="preserve">Training-time validation WER on the model’s own held-out val split (a</w:t>
      </w:r>
      <w:r>
        <w:t xml:space="preserve"> </w:t>
      </w:r>
      <w:r>
        <w:t xml:space="preserve">different measurement from the matched-methodology figures above, and not</w:t>
      </w:r>
      <w:r>
        <w:t xml:space="preserve"> </w:t>
      </w:r>
      <w:r>
        <w:t xml:space="preserve">interchangeable with them) improved monotonically across all five epochs</w:t>
      </w:r>
      <w:r>
        <w:t xml:space="preserve"> </w:t>
      </w:r>
      <w:r>
        <w:t xml:space="preserve">with no early stopping triggered: 72.98% → 70.88% → 70.09% → 69.03% → 68.83%.</w:t>
      </w:r>
      <w:r>
        <w:t xml:space="preserve"> </w:t>
      </w:r>
      <w:r>
        <w:t xml:space="preserve">The discrepancy between this figure and the 38.17% reported in the table</w:t>
      </w:r>
      <w:r>
        <w:t xml:space="preserve"> </w:t>
      </w:r>
      <w:r>
        <w:t xml:space="preserve">above is not an inconsistency: the two numbers are measured on different</w:t>
      </w:r>
      <w:r>
        <w:t xml:space="preserve"> </w:t>
      </w:r>
      <w:r>
        <w:t xml:space="preserve">splits (SLR54’s own 1,505-utterance validation split, versus a fixed</w:t>
      </w:r>
      <w:r>
        <w:t xml:space="preserve"> </w:t>
      </w:r>
      <w:r>
        <w:t xml:space="preserve">150-utterance sample of the</w:t>
      </w:r>
      <w:r>
        <w:t xml:space="preserve"> </w:t>
      </w:r>
      <w:r>
        <w:rPr>
          <w:i/>
          <w:iCs/>
        </w:rPr>
        <w:t xml:space="preserve">test</w:t>
      </w:r>
      <w:r>
        <w:t xml:space="preserve"> </w:t>
      </w:r>
      <w:r>
        <w:t xml:space="preserve">split, evaluated identically to every</w:t>
      </w:r>
      <w:r>
        <w:t xml:space="preserve"> </w:t>
      </w:r>
      <w:r>
        <w:t xml:space="preserve">other cell in this report). The 38.17% figure is the one that belongs in</w:t>
      </w:r>
      <w:r>
        <w:t xml:space="preserve"> </w:t>
      </w:r>
      <w:r>
        <w:t xml:space="preserve">cross-checkpoint comparisons.</w:t>
      </w:r>
    </w:p>
    <w:bookmarkEnd w:id="18"/>
    <w:bookmarkStart w:id="19" w:name="error-analysis-and-per-group-breakdown"/>
    <w:p>
      <w:pPr>
        <w:pStyle w:val="Heading3"/>
      </w:pPr>
      <w:r>
        <w:t xml:space="preserve">6.3 Error analysis and per-group breakdown</w:t>
      </w:r>
    </w:p>
    <w:p>
      <w:pPr>
        <w:pStyle w:val="FirstParagraph"/>
      </w:pPr>
      <w:r>
        <w:t xml:space="preserve">Applying the fine-tuned checkpoint to the same 150-utterance out-of-domain</w:t>
      </w:r>
      <w:r>
        <w:t xml:space="preserve"> </w:t>
      </w:r>
      <w:r>
        <w:t xml:space="preserve">sample and categorising errors heuristically (via jiwer character-alignment</w:t>
      </w:r>
      <w:r>
        <w:t xml:space="preserve"> </w:t>
      </w:r>
      <w:r>
        <w:t xml:space="preserve">and regex-based tagging; categories are not mutually exclusive) gives: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Count (of 150)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OOV / rare vocabulary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Phonetic confusion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(unclassified substitution pattern)</w:t>
            </w:r>
          </w:p>
        </w:tc>
        <w:tc>
          <w:tcPr/>
          <w:p>
            <w:pPr>
              <w:pStyle w:val="Compact"/>
            </w:pPr>
            <w:r>
              <w:t xml:space="preserve">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Noise / severe degradation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</w:tr>
    </w:tbl>
    <w:p>
      <w:pPr>
        <w:pStyle w:val="BodyText"/>
      </w:pPr>
      <w:r>
        <w:t xml:space="preserve">Rare or out-of-vocabulary words are the single largest identifiable error</w:t>
      </w:r>
      <w:r>
        <w:t xml:space="preserve"> </w:t>
      </w:r>
      <w:r>
        <w:t xml:space="preserve">driver — consistent with a model trained on only 12,119 utterances having</w:t>
      </w:r>
      <w:r>
        <w:t xml:space="preserve"> </w:t>
      </w:r>
      <w:r>
        <w:t xml:space="preserve">incomplete lexical coverage of Nepali’s full vocabulary. Representative worst</w:t>
      </w:r>
      <w:r>
        <w:t xml:space="preserve"> </w:t>
      </w:r>
      <w:r>
        <w:t xml:space="preserve">cases (reference → hypothesis) illustrate the phonetic-confusion pattern:</w:t>
      </w:r>
      <w:r>
        <w:t xml:space="preserve"> </w:t>
      </w:r>
      <w:r>
        <w:rPr>
          <w:i/>
          <w:iCs/>
        </w:rPr>
        <w:t xml:space="preserve">मान्छे चटकारे → मान्छि चट कार्य</w:t>
      </w:r>
      <w:r>
        <w:t xml:space="preserve">;</w:t>
      </w:r>
      <w:r>
        <w:t xml:space="preserve"> </w:t>
      </w:r>
      <w:r>
        <w:rPr>
          <w:i/>
          <w:iCs/>
        </w:rPr>
        <w:t xml:space="preserve">क्रान्तिकारी वाममोर्चाको → तन्थिकारी बाम वर्षको</w:t>
      </w:r>
      <w:r>
        <w:t xml:space="preserve">.</w:t>
      </w:r>
      <w:r>
        <w:t xml:space="preserve"> </w:t>
      </w:r>
      <w:r>
        <w:t xml:space="preserve">Both show plausible phoneme-level substitutions rather than nonsensical</w:t>
      </w:r>
      <w:r>
        <w:t xml:space="preserve"> </w:t>
      </w:r>
      <w:r>
        <w:t xml:space="preserve">output, suggesting the model has learned Nepali phonotactics broadly but</w:t>
      </w:r>
      <w:r>
        <w:t xml:space="preserve"> </w:t>
      </w:r>
      <w:r>
        <w:t xml:space="preserve">lacks the specific lexical items involved.</w:t>
      </w:r>
    </w:p>
    <w:p>
      <w:pPr>
        <w:pStyle w:val="BodyText"/>
      </w:pPr>
      <w:r>
        <w:t xml:space="preserve">WER broken out by the F0-pitch pseudo-label groups defined in Section 3 —</w:t>
      </w:r>
      <w:r>
        <w:t xml:space="preserve"> </w:t>
      </w:r>
      <w:r>
        <w:rPr>
          <w:b/>
          <w:bCs/>
        </w:rPr>
        <w:t xml:space="preserve">stated again here explicitly because this specific result is easy to</w:t>
      </w:r>
      <w:r>
        <w:rPr>
          <w:b/>
          <w:bCs/>
        </w:rPr>
        <w:t xml:space="preserve"> </w:t>
      </w:r>
      <w:r>
        <w:rPr>
          <w:b/>
          <w:bCs/>
        </w:rPr>
        <w:t xml:space="preserve">misquote</w:t>
      </w:r>
      <w:r>
        <w:t xml:space="preserve">: male-pseudo-label 37.68% WER (n=77) versus female-pseudo-label</w:t>
      </w:r>
      <w:r>
        <w:t xml:space="preserve"> </w:t>
      </w:r>
      <w:r>
        <w:t xml:space="preserve">38.73% WER (n=73). The two groups are close; there is no large disparity</w:t>
      </w:r>
      <w:r>
        <w:t xml:space="preserve"> </w:t>
      </w:r>
      <w:r>
        <w:t xml:space="preserve">this analysis can detect. This should be read as</w:t>
      </w:r>
      <w:r>
        <w:t xml:space="preserve"> </w:t>
      </w:r>
      <w:r>
        <w:t xml:space="preserve">“WER is similar across</w:t>
      </w:r>
      <w:r>
        <w:t xml:space="preserve"> </w:t>
      </w:r>
      <w:r>
        <w:t xml:space="preserve">pitch-threshold groups,”</w:t>
      </w:r>
      <w:r>
        <w:t xml:space="preserve"> </w:t>
      </w:r>
      <w:r>
        <w:t xml:space="preserve">not as</w:t>
      </w:r>
      <w:r>
        <w:t xml:space="preserve"> </w:t>
      </w:r>
      <w:r>
        <w:t xml:space="preserve">“WER is similar across genders,”</w:t>
      </w:r>
      <w:r>
        <w:t xml:space="preserve"> </w:t>
      </w:r>
      <w:r>
        <w:t xml:space="preserve">since the</w:t>
      </w:r>
      <w:r>
        <w:t xml:space="preserve"> </w:t>
      </w:r>
      <w:r>
        <w:t xml:space="preserve">grouping itself is a heuristic proxy, not verified demographic data.</w:t>
      </w:r>
    </w:p>
    <w:p>
      <w:pPr>
        <w:pStyle w:val="BodyText"/>
      </w:pPr>
      <w:r>
        <w:t xml:space="preserve">A more striking finding is the</w:t>
      </w:r>
      <w:r>
        <w:t xml:space="preserve"> </w:t>
      </w:r>
      <w:r>
        <w:rPr>
          <w:b/>
          <w:bCs/>
        </w:rPr>
        <w:t xml:space="preserve">spread across individual speakers</w:t>
      </w:r>
      <w:r>
        <w:t xml:space="preserve">: across</w:t>
      </w:r>
      <w:r>
        <w:t xml:space="preserve"> </w:t>
      </w:r>
      <w:r>
        <w:t xml:space="preserve">the 16 speakers represented in the 150-utterance sample, per-speaker mean WER</w:t>
      </w:r>
      <w:r>
        <w:t xml:space="preserve"> </w:t>
      </w:r>
      <w:r>
        <w:t xml:space="preserve">ranges from 12.5% (best, n=12 utterances) to 63.6% (worst, n=11 utterances) —</w:t>
      </w:r>
      <w:r>
        <w:t xml:space="preserve"> </w:t>
      </w:r>
      <w:r>
        <w:t xml:space="preserve">a five-fold difference the aggregate 38.17% figure obscures entirely.</w:t>
      </w:r>
      <w:r>
        <w:t xml:space="preserve"> </w:t>
      </w:r>
      <w:r>
        <w:t xml:space="preserve">Speaker-level variance of this magnitude suggests that some speakers’</w:t>
      </w:r>
      <w:r>
        <w:t xml:space="preserve"> </w:t>
      </w:r>
      <w:r>
        <w:t xml:space="preserve">recording conditions, accent, or speaking style are substantially harder for</w:t>
      </w:r>
      <w:r>
        <w:t xml:space="preserve"> </w:t>
      </w:r>
      <w:r>
        <w:t xml:space="preserve">this checkpoint than others, and that the single aggregate WER is a</w:t>
      </w:r>
      <w:r>
        <w:t xml:space="preserve"> </w:t>
      </w:r>
      <w:r>
        <w:t xml:space="preserve">summary statistic, not evidence of uniform performance.</w:t>
      </w:r>
    </w:p>
    <w:bookmarkEnd w:id="19"/>
    <w:bookmarkStart w:id="20" w:name="speaker-leakage-ablation"/>
    <w:p>
      <w:pPr>
        <w:pStyle w:val="Heading3"/>
      </w:pPr>
      <w:r>
        <w:t xml:space="preserve">6.4 Speaker-leakage ablation</w:t>
      </w:r>
    </w:p>
    <w:p>
      <w:pPr>
        <w:pStyle w:val="FirstParagraph"/>
      </w:pPr>
      <w:r>
        <w:t xml:space="preserve">To test how much a methodological shortcut — evaluating without a</w:t>
      </w:r>
      <w:r>
        <w:t xml:space="preserve"> </w:t>
      </w:r>
      <w:r>
        <w:t xml:space="preserve">speaker-disjoint split — would have distorted the Section 6.2 result, a</w:t>
      </w:r>
      <w:r>
        <w:t xml:space="preserve"> </w:t>
      </w:r>
      <w:r>
        <w:t xml:space="preserve">second fine-tuning run was trained to the identical budget (5 epochs, same</w:t>
      </w:r>
      <w:r>
        <w:t xml:space="preserve"> </w:t>
      </w:r>
      <w:r>
        <w:t xml:space="preserve">hyperparameters) on a</w:t>
      </w:r>
      <w:r>
        <w:t xml:space="preserve"> </w:t>
      </w:r>
      <w:r>
        <w:rPr>
          <w:b/>
          <w:bCs/>
        </w:rPr>
        <w:t xml:space="preserve">leaky</w:t>
      </w:r>
      <w:r>
        <w:t xml:space="preserve"> </w:t>
      </w:r>
      <w:r>
        <w:t xml:space="preserve">split: the same processed records, shuffled</w:t>
      </w:r>
      <w:r>
        <w:t xml:space="preserve"> </w:t>
      </w:r>
      <w:r>
        <w:t xml:space="preserve">at the utterance level rather than the speaker level, so that 160 of 160</w:t>
      </w:r>
      <w:r>
        <w:t xml:space="preserve"> </w:t>
      </w:r>
      <w:r>
        <w:t xml:space="preserve">speakers appear in more than one split.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Checkpoint</w:t>
            </w:r>
          </w:p>
        </w:tc>
        <w:tc>
          <w:tcPr/>
          <w:p>
            <w:pPr>
              <w:pStyle w:val="Compact"/>
            </w:pPr>
            <w:r>
              <w:t xml:space="preserve">In-domain (OpenSLR-43)</w:t>
            </w:r>
          </w:p>
        </w:tc>
        <w:tc>
          <w:tcPr/>
          <w:p>
            <w:pPr>
              <w:pStyle w:val="Compact"/>
            </w:pPr>
            <w:r>
              <w:t xml:space="preserve">Out-of-domain (OpenSLR-54)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Fine-tuned, speaker-disjoint</w:t>
            </w:r>
          </w:p>
        </w:tc>
        <w:tc>
          <w:tcPr/>
          <w:p>
            <w:pPr>
              <w:pStyle w:val="Compact"/>
            </w:pPr>
            <w:r>
              <w:t xml:space="preserve">16.40% WER</w:t>
            </w:r>
          </w:p>
        </w:tc>
        <w:tc>
          <w:tcPr/>
          <w:p>
            <w:pPr>
              <w:pStyle w:val="Compact"/>
            </w:pPr>
            <w:r>
              <w:t xml:space="preserve">38.17% 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Fine-tuned, leaky</w:t>
            </w:r>
          </w:p>
        </w:tc>
        <w:tc>
          <w:tcPr/>
          <w:p>
            <w:pPr>
              <w:pStyle w:val="Compact"/>
            </w:pPr>
            <w:r>
              <w:t xml:space="preserve">16.96% WER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32.55% WER</w:t>
            </w:r>
          </w:p>
        </w:tc>
      </w:tr>
    </w:tbl>
    <w:p>
      <w:pPr>
        <w:pStyle w:val="BodyText"/>
      </w:pPr>
      <w:r>
        <w:t xml:space="preserve">The leaky-trained model scores 5.62 percentage points better on the</w:t>
      </w:r>
      <w:r>
        <w:t xml:space="preserve"> </w:t>
      </w:r>
      <w:r>
        <w:t xml:space="preserve">“out-of-domain”</w:t>
      </w:r>
      <w:r>
        <w:t xml:space="preserve"> </w:t>
      </w:r>
      <w:r>
        <w:t xml:space="preserve">test than the properly speaker-disjoint model, despite</w:t>
      </w:r>
      <w:r>
        <w:t xml:space="preserve"> </w:t>
      </w:r>
      <w:r>
        <w:t xml:space="preserve">identical training budget and hyperparameters — the expected direction if</w:t>
      </w:r>
      <w:r>
        <w:t xml:space="preserve"> </w:t>
      </w:r>
      <w:r>
        <w:t xml:space="preserve">leakage inflates apparent performance, since the leaky split’s test set is</w:t>
      </w:r>
      <w:r>
        <w:t xml:space="preserve"> </w:t>
      </w:r>
      <w:r>
        <w:t xml:space="preserve">not genuinely unseen for many of its speakers. In-domain performance is</w:t>
      </w:r>
      <w:r>
        <w:t xml:space="preserve"> </w:t>
      </w:r>
      <w:r>
        <w:t xml:space="preserve">nearly identical between the two (16.40% vs. 16.96%), as expected, since</w:t>
      </w:r>
      <w:r>
        <w:t xml:space="preserve"> </w:t>
      </w:r>
      <w:r>
        <w:t xml:space="preserve">neither training run touches OpenSLR-43’s speaker. This is direct,</w:t>
      </w:r>
      <w:r>
        <w:t xml:space="preserve"> </w:t>
      </w:r>
      <w:r>
        <w:t xml:space="preserve">quantified evidence that the speaker-disjoint methodology used throughout</w:t>
      </w:r>
      <w:r>
        <w:t xml:space="preserve"> </w:t>
      </w:r>
      <w:r>
        <w:t xml:space="preserve">this project was the correct choice: a leaky evaluation would have reported</w:t>
      </w:r>
      <w:r>
        <w:t xml:space="preserve"> </w:t>
      </w:r>
      <w:r>
        <w:t xml:space="preserve">a roughly 15% relative WER</w:t>
      </w:r>
      <w:r>
        <w:t xml:space="preserve"> </w:t>
      </w:r>
      <w:r>
        <w:t xml:space="preserve">“improvement”</w:t>
      </w:r>
      <w:r>
        <w:t xml:space="preserve"> </w:t>
      </w:r>
      <w:r>
        <w:t xml:space="preserve">over the properly-measured result</w:t>
      </w:r>
      <w:r>
        <w:t xml:space="preserve"> </w:t>
      </w:r>
      <w:r>
        <w:t xml:space="preserve">that reflects memorisation of already-seen speakers rather than genuine</w:t>
      </w:r>
      <w:r>
        <w:t xml:space="preserve"> </w:t>
      </w:r>
      <w:r>
        <w:t xml:space="preserve">generalisation to new ones. This finding generalises beyond this specific</w:t>
      </w:r>
      <w:r>
        <w:t xml:space="preserve"> </w:t>
      </w:r>
      <w:r>
        <w:t xml:space="preserve">project: any Nepali ASR evaluation, including potentially aspects of</w:t>
      </w:r>
      <w:r>
        <w:t xml:space="preserve"> </w:t>
      </w:r>
      <w:r>
        <w:t xml:space="preserve">benchmark practice in the wider low-resource-ASR literature, that does not</w:t>
      </w:r>
      <w:r>
        <w:t xml:space="preserve"> </w:t>
      </w:r>
      <w:r>
        <w:t xml:space="preserve">explicitly control for speaker overlap between train and test risks the same</w:t>
      </w:r>
      <w:r>
        <w:t xml:space="preserve"> </w:t>
      </w:r>
      <w:r>
        <w:t xml:space="preserve">class of inflation.</w:t>
      </w:r>
    </w:p>
    <w:bookmarkEnd w:id="20"/>
    <w:bookmarkStart w:id="21" w:name="efficiency-benchmark"/>
    <w:p>
      <w:pPr>
        <w:pStyle w:val="Heading3"/>
      </w:pPr>
      <w:r>
        <w:t xml:space="preserve">6.5 Efficiency benchmark</w:t>
      </w:r>
    </w:p>
    <w:p>
      <w:pPr>
        <w:pStyle w:val="FirstParagraph"/>
      </w:pPr>
      <w:r>
        <w:t xml:space="preserve">The fine-tuned checkpoint was benchmarked in FP32 and after dynamic int8</w:t>
      </w:r>
      <w:r>
        <w:t xml:space="preserve"> </w:t>
      </w:r>
      <w:r>
        <w:t xml:space="preserve">quantization of its linear layers (</w:t>
      </w:r>
      <w:r>
        <w:rPr>
          <w:rStyle w:val="VerbatimChar"/>
        </w:rPr>
        <w:t xml:space="preserve">torch.quantization.quantize_dynamic</w:t>
      </w:r>
      <w:r>
        <w:t xml:space="preserve">,</w:t>
      </w:r>
      <w:r>
        <w:t xml:space="preserve"> </w:t>
      </w:r>
      <w:r>
        <w:rPr>
          <w:rStyle w:val="VerbatimChar"/>
        </w:rPr>
        <w:t xml:space="preserve">qnnpack</w:t>
      </w:r>
      <w:r>
        <w:t xml:space="preserve"> </w:t>
      </w:r>
      <w:r>
        <w:t xml:space="preserve">backend — the only quantized engine available on this platform),</w:t>
      </w:r>
      <w:r>
        <w:t xml:space="preserve"> </w:t>
      </w:r>
      <w:r>
        <w:t xml:space="preserve">on 50 CPU inference runs: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Model size</w:t>
            </w:r>
          </w:p>
        </w:tc>
        <w:tc>
          <w:tcPr/>
          <w:p>
            <w:pPr>
              <w:pStyle w:val="Compact"/>
            </w:pPr>
            <w:r>
              <w:t xml:space="preserve">Mean latency</w:t>
            </w:r>
          </w:p>
        </w:tc>
        <w:tc>
          <w:tcPr/>
          <w:p>
            <w:pPr>
              <w:pStyle w:val="Compact"/>
            </w:pPr>
            <w:r>
              <w:t xml:space="preserve">WER</w:t>
            </w:r>
          </w:p>
        </w:tc>
        <w:tc>
          <w:tcPr/>
          <w:p>
            <w:pPr>
              <w:pStyle w:val="Compact"/>
            </w:pPr>
            <w:r>
              <w:t xml:space="preserve">CER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FP32</w:t>
            </w:r>
          </w:p>
        </w:tc>
        <w:tc>
          <w:tcPr/>
          <w:p>
            <w:pPr>
              <w:pStyle w:val="Compact"/>
            </w:pPr>
            <w:r>
              <w:t xml:space="preserve">1,203.6 MB</w:t>
            </w:r>
          </w:p>
        </w:tc>
        <w:tc>
          <w:tcPr/>
          <w:p>
            <w:pPr>
              <w:pStyle w:val="Compact"/>
            </w:pPr>
            <w:r>
              <w:t xml:space="preserve">204.7 ms</w:t>
            </w:r>
          </w:p>
        </w:tc>
        <w:tc>
          <w:tcPr/>
          <w:p>
            <w:pPr>
              <w:pStyle w:val="Compact"/>
            </w:pPr>
            <w:r>
              <w:t xml:space="preserve">35.81%</w:t>
            </w:r>
          </w:p>
        </w:tc>
        <w:tc>
          <w:tcPr/>
          <w:p>
            <w:pPr>
              <w:pStyle w:val="Compact"/>
            </w:pPr>
            <w:r>
              <w:t xml:space="preserve">7.17%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Dynamic INT8</w:t>
            </w:r>
          </w:p>
        </w:tc>
        <w:tc>
          <w:tcPr/>
          <w:p>
            <w:pPr>
              <w:pStyle w:val="Compact"/>
            </w:pPr>
            <w:r>
              <w:t xml:space="preserve">48.5 MB</w:t>
            </w:r>
          </w:p>
        </w:tc>
        <w:tc>
          <w:tcPr/>
          <w:p>
            <w:pPr>
              <w:pStyle w:val="Compact"/>
            </w:pPr>
            <w:r>
              <w:t xml:space="preserve">335.2 ms</w:t>
            </w:r>
          </w:p>
        </w:tc>
        <w:tc>
          <w:tcPr/>
          <w:p>
            <w:pPr>
              <w:pStyle w:val="Compact"/>
            </w:pPr>
            <w:r>
              <w:t xml:space="preserve">36.49%</w:t>
            </w:r>
          </w:p>
        </w:tc>
        <w:tc>
          <w:tcPr/>
          <w:p>
            <w:pPr>
              <w:pStyle w:val="Compact"/>
            </w:pPr>
            <w:r>
              <w:t xml:space="preserve">7.49%</w:t>
            </w:r>
          </w:p>
        </w:tc>
      </w:tr>
    </w:tbl>
    <w:p>
      <w:pPr>
        <w:pStyle w:val="BodyText"/>
      </w:pPr>
      <w:r>
        <w:t xml:space="preserve">Quantization delivers a 96.0% size reduction at negligible accuracy cost</w:t>
      </w:r>
      <w:r>
        <w:t xml:space="preserve"> </w:t>
      </w:r>
      <w:r>
        <w:t xml:space="preserve">(+0.68 percentage points WER, within normal sampling noise for 50</w:t>
      </w:r>
      <w:r>
        <w:t xml:space="preserve"> </w:t>
      </w:r>
      <w:r>
        <w:t xml:space="preserve">utterances) — but is</w:t>
      </w:r>
      <w:r>
        <w:t xml:space="preserve"> </w:t>
      </w:r>
      <w:r>
        <w:rPr>
          <w:b/>
          <w:bCs/>
        </w:rPr>
        <w:t xml:space="preserve">1.64× slower</w:t>
      </w:r>
      <w:r>
        <w:t xml:space="preserve">, not faster, than FP32 on this</w:t>
      </w:r>
      <w:r>
        <w:t xml:space="preserve"> </w:t>
      </w:r>
      <w:r>
        <w:t xml:space="preserve">hardware. This is a real, reproducible result rather than a benchmark error:</w:t>
      </w:r>
      <w:r>
        <w:t xml:space="preserve"> </w:t>
      </w:r>
      <w:r>
        <w:t xml:space="preserve">the speed benefit of dynamic quantization on other platforms comes from</w:t>
      </w:r>
      <w:r>
        <w:t xml:space="preserve"> </w:t>
      </w:r>
      <w:r>
        <w:rPr>
          <w:rStyle w:val="VerbatimChar"/>
        </w:rPr>
        <w:t xml:space="preserve">fbgemm</w:t>
      </w:r>
      <w:r>
        <w:t xml:space="preserve">’s optimized quantized GEMM kernels, unavailable on Apple Silicon;</w:t>
      </w:r>
      <w:r>
        <w:t xml:space="preserve"> </w:t>
      </w:r>
      <w:r>
        <w:rPr>
          <w:rStyle w:val="VerbatimChar"/>
        </w:rPr>
        <w:t xml:space="preserve">qnnpack</w:t>
      </w:r>
      <w:r>
        <w:t xml:space="preserve">’s dynamic-quantization path does not uniformly outperform Apple’s</w:t>
      </w:r>
      <w:r>
        <w:t xml:space="preserve"> </w:t>
      </w:r>
      <w:r>
        <w:t xml:space="preserve">native FP32 execution, and since only the model’s linear layers are</w:t>
      </w:r>
      <w:r>
        <w:t xml:space="preserve"> </w:t>
      </w:r>
      <w:r>
        <w:t xml:space="preserve">quantized (its convolutional feature encoder remains FP32 regardless), the</w:t>
      </w:r>
      <w:r>
        <w:t xml:space="preserve"> </w:t>
      </w:r>
      <w:r>
        <w:t xml:space="preserve">per-call dequantization overhead can exceed the compute it saves at this</w:t>
      </w:r>
      <w:r>
        <w:t xml:space="preserve"> </w:t>
      </w:r>
      <w:r>
        <w:t xml:space="preserve">batch size. The practical conclusion for this specific checkpoint on this</w:t>
      </w:r>
      <w:r>
        <w:t xml:space="preserve"> </w:t>
      </w:r>
      <w:r>
        <w:t xml:space="preserve">specific hardware is that quantization is a</w:t>
      </w:r>
      <w:r>
        <w:t xml:space="preserve"> </w:t>
      </w:r>
      <w:r>
        <w:rPr>
          <w:i/>
          <w:iCs/>
        </w:rPr>
        <w:t xml:space="preserve">storage</w:t>
      </w:r>
      <w:r>
        <w:t xml:space="preserve"> </w:t>
      </w:r>
      <w:r>
        <w:t xml:space="preserve">optimisation, not a</w:t>
      </w:r>
      <w:r>
        <w:t xml:space="preserve"> </w:t>
      </w:r>
      <w:r>
        <w:rPr>
          <w:i/>
          <w:iCs/>
        </w:rPr>
        <w:t xml:space="preserve">latency</w:t>
      </w:r>
      <w:r>
        <w:t xml:space="preserve"> </w:t>
      </w:r>
      <w:r>
        <w:t xml:space="preserve">one; a deployment targeting x86 CPUs or GPU/Core-ML-specific</w:t>
      </w:r>
      <w:r>
        <w:t xml:space="preserve"> </w:t>
      </w:r>
      <w:r>
        <w:t xml:space="preserve">quantization paths would need to be benchmarked independently rather than</w:t>
      </w:r>
      <w:r>
        <w:t xml:space="preserve"> </w:t>
      </w:r>
      <w:r>
        <w:t xml:space="preserve">assuming this result transfers.</w:t>
      </w:r>
    </w:p>
    <w:bookmarkEnd w:id="21"/>
    <w:bookmarkEnd w:id="22"/>
    <w:bookmarkStart w:id="23" w:name="discussion"/>
    <w:p>
      <w:pPr>
        <w:pStyle w:val="Heading2"/>
      </w:pPr>
      <w:r>
        <w:t xml:space="preserve">7. Discussion</w:t>
      </w:r>
    </w:p>
    <w:p>
      <w:pPr>
        <w:pStyle w:val="FirstParagraph"/>
      </w:pPr>
      <w:r>
        <w:t xml:space="preserve">The results in Sections 6.1–6.4 tell a single, coherent story. A published</w:t>
      </w:r>
      <w:r>
        <w:t xml:space="preserve"> </w:t>
      </w:r>
      <w:r>
        <w:t xml:space="preserve">low-resource ASR benchmark measured on narrow data (Section 6.1) does not</w:t>
      </w:r>
      <w:r>
        <w:t xml:space="preserve"> </w:t>
      </w:r>
      <w:r>
        <w:t xml:space="preserve">describe performance on diverse speech; the gap is large enough (4.91% →</w:t>
      </w:r>
      <w:r>
        <w:t xml:space="preserve"> </w:t>
      </w:r>
      <w:r>
        <w:t xml:space="preserve">62.30% WER) that anyone deploying this model against real, varied users</w:t>
      </w:r>
      <w:r>
        <w:t xml:space="preserve"> </w:t>
      </w:r>
      <w:r>
        <w:t xml:space="preserve">would be seriously misled by the headline figure. Training-data diversity,</w:t>
      </w:r>
      <w:r>
        <w:t xml:space="preserve"> </w:t>
      </w:r>
      <w:r>
        <w:t xml:space="preserve">not architecture, explains a substantial share of that gap: fine-tuning the</w:t>
      </w:r>
      <w:r>
        <w:t xml:space="preserve"> </w:t>
      </w:r>
      <w:r>
        <w:t xml:space="preserve">same model on speaker-diverse data closes roughly 39% of it (Section 6.2).</w:t>
      </w:r>
      <w:r>
        <w:t xml:space="preserve"> </w:t>
      </w:r>
      <w:r>
        <w:t xml:space="preserve">The ablation in Section 6.4 then closes the methodological loop: it</w:t>
      </w:r>
      <w:r>
        <w:t xml:space="preserve"> </w:t>
      </w:r>
      <w:r>
        <w:t xml:space="preserve">demonstrates directly, on this project’s own data and models, exactly the</w:t>
      </w:r>
      <w:r>
        <w:t xml:space="preserve"> </w:t>
      </w:r>
      <w:r>
        <w:t xml:space="preserve">failure mode that produced the original misleading benchmark in the first</w:t>
      </w:r>
      <w:r>
        <w:t xml:space="preserve"> </w:t>
      </w:r>
      <w:r>
        <w:t xml:space="preserve">place — evaluating without controlling for speaker overlap inflates apparent</w:t>
      </w:r>
      <w:r>
        <w:t xml:space="preserve"> </w:t>
      </w:r>
      <w:r>
        <w:t xml:space="preserve">performance by a similar order of magnitude (≈5.6 points) to the effect this</w:t>
      </w:r>
      <w:r>
        <w:t xml:space="preserve"> </w:t>
      </w:r>
      <w:r>
        <w:t xml:space="preserve">project set out to study. In other words, the project’s central finding and</w:t>
      </w:r>
      <w:r>
        <w:t xml:space="preserve"> </w:t>
      </w:r>
      <w:r>
        <w:t xml:space="preserve">its central methodological safeguard are two instances of the same</w:t>
      </w:r>
      <w:r>
        <w:t xml:space="preserve"> </w:t>
      </w:r>
      <w:r>
        <w:t xml:space="preserve">underlying phenomenon, observed at different scales.</w:t>
      </w:r>
    </w:p>
    <w:p>
      <w:pPr>
        <w:pStyle w:val="BodyText"/>
      </w:pPr>
      <w:r>
        <w:t xml:space="preserve">Three limitations should qualify how these results are read. First, the</w:t>
      </w:r>
      <w:r>
        <w:t xml:space="preserve"> </w:t>
      </w:r>
      <w:r>
        <w:t xml:space="preserve">gender pseudo-label (Section 3, Section 6.3) is a pitch-threshold heuristic,</w:t>
      </w:r>
      <w:r>
        <w:t xml:space="preserve"> </w:t>
      </w:r>
      <w:r>
        <w:t xml:space="preserve">not verified demographic data; the near-parity finding between pseudo-label</w:t>
      </w:r>
      <w:r>
        <w:t xml:space="preserve"> </w:t>
      </w:r>
      <w:r>
        <w:t xml:space="preserve">groups is a statement about that heuristic grouping, not about true gender,</w:t>
      </w:r>
      <w:r>
        <w:t xml:space="preserve"> </w:t>
      </w:r>
      <w:r>
        <w:t xml:space="preserve">and should not be cited as evidence the model is unbiased with respect to</w:t>
      </w:r>
      <w:r>
        <w:t xml:space="preserve"> </w:t>
      </w:r>
      <w:r>
        <w:t xml:space="preserve">speaker gender — a genuine bias analysis would need self-reported labels.</w:t>
      </w:r>
      <w:r>
        <w:t xml:space="preserve"> </w:t>
      </w:r>
      <w:r>
        <w:t xml:space="preserve">Second, the fine-tuning corpus is itself only 15 hours across 160 speakers —</w:t>
      </w:r>
      <w:r>
        <w:t xml:space="preserve"> </w:t>
      </w:r>
      <w:r>
        <w:t xml:space="preserve">larger and more diverse than the original single-speaker training set, but</w:t>
      </w:r>
      <w:r>
        <w:t xml:space="preserve"> </w:t>
      </w:r>
      <w:r>
        <w:t xml:space="preserve">still modest by ASR standards, so the repaired model’s 38.17% WER should be</w:t>
      </w:r>
      <w:r>
        <w:t xml:space="preserve"> </w:t>
      </w:r>
      <w:r>
        <w:t xml:space="preserve">read as evidence that the</w:t>
      </w:r>
      <w:r>
        <w:t xml:space="preserve"> </w:t>
      </w:r>
      <w:r>
        <w:rPr>
          <w:i/>
          <w:iCs/>
        </w:rPr>
        <w:t xml:space="preserve">direction</w:t>
      </w:r>
      <w:r>
        <w:t xml:space="preserve"> </w:t>
      </w:r>
      <w:r>
        <w:t xml:space="preserve">of the intervention works, not as a</w:t>
      </w:r>
      <w:r>
        <w:t xml:space="preserve"> </w:t>
      </w:r>
      <w:r>
        <w:t xml:space="preserve">production-ready transcription quality. Third, the efficiency benchmark</w:t>
      </w:r>
      <w:r>
        <w:t xml:space="preserve"> </w:t>
      </w:r>
      <w:r>
        <w:t xml:space="preserve">(Section 6.5) is specific to this Apple Silicon/</w:t>
      </w:r>
      <w:r>
        <w:rPr>
          <w:rStyle w:val="VerbatimChar"/>
        </w:rPr>
        <w:t xml:space="preserve">qnnpack</w:t>
      </w:r>
      <w:r>
        <w:t xml:space="preserve"> </w:t>
      </w:r>
      <w:r>
        <w:t xml:space="preserve">configuration; its</w:t>
      </w:r>
      <w:r>
        <w:t xml:space="preserve"> </w:t>
      </w:r>
      <w:r>
        <w:t xml:space="preserve">conclusion that quantization slows inference down should not be</w:t>
      </w:r>
      <w:r>
        <w:t xml:space="preserve"> </w:t>
      </w:r>
      <w:r>
        <w:t xml:space="preserve">generalised to other hardware without re-measurement.</w:t>
      </w:r>
    </w:p>
    <w:bookmarkEnd w:id="23"/>
    <w:bookmarkStart w:id="24" w:name="conclusion"/>
    <w:p>
      <w:pPr>
        <w:pStyle w:val="Heading2"/>
      </w:pPr>
      <w:r>
        <w:t xml:space="preserve">8. Conclusion</w:t>
      </w:r>
    </w:p>
    <w:p>
      <w:pPr>
        <w:pStyle w:val="FirstParagraph"/>
      </w:pPr>
      <w:r>
        <w:t xml:space="preserve">This project set out to answer whether a specific published Nepali ASR</w:t>
      </w:r>
      <w:r>
        <w:t xml:space="preserve"> </w:t>
      </w:r>
      <w:r>
        <w:t xml:space="preserve">benchmark claim (5.97% WER) survives contact with speaker-diverse speech, and</w:t>
      </w:r>
      <w:r>
        <w:t xml:space="preserve"> </w:t>
      </w:r>
      <w:r>
        <w:t xml:space="preserve">found that it does not: the same checkpoint’s WER rises to 62.30% on a</w:t>
      </w:r>
      <w:r>
        <w:t xml:space="preserve"> </w:t>
      </w:r>
      <w:r>
        <w:t xml:space="preserve">different, multi-speaker corpus. Fine-tuning that checkpoint on a 15-hour,</w:t>
      </w:r>
      <w:r>
        <w:t xml:space="preserve"> </w:t>
      </w:r>
      <w:r>
        <w:t xml:space="preserve">speaker-disjoint, 160-speaker subset repairs a substantial share of that</w:t>
      </w:r>
      <w:r>
        <w:t xml:space="preserve"> </w:t>
      </w:r>
      <w:r>
        <w:t xml:space="preserve">gap (to 38.17% WER), at a disclosed cost to the model’s original narrow-domain</w:t>
      </w:r>
      <w:r>
        <w:t xml:space="preserve"> </w:t>
      </w:r>
      <w:r>
        <w:t xml:space="preserve">sharpness. A matched-budget ablation confirms this improvement is genuine and</w:t>
      </w:r>
      <w:r>
        <w:t xml:space="preserve"> </w:t>
      </w:r>
      <w:r>
        <w:t xml:space="preserve">not a leakage artefact — and separately confirms that evaluating without a</w:t>
      </w:r>
      <w:r>
        <w:t xml:space="preserve"> </w:t>
      </w:r>
      <w:r>
        <w:t xml:space="preserve">speaker-disjoint split would have overstated the same improvement by roughly</w:t>
      </w:r>
      <w:r>
        <w:t xml:space="preserve"> </w:t>
      </w:r>
      <w:r>
        <w:t xml:space="preserve">5.6 percentage points, a result with implications beyond this specific</w:t>
      </w:r>
      <w:r>
        <w:t xml:space="preserve"> </w:t>
      </w:r>
      <w:r>
        <w:t xml:space="preserve">project for how low-resource ASR claims of this kind should be evaluated.</w:t>
      </w:r>
      <w:r>
        <w:t xml:space="preserve"> </w:t>
      </w:r>
      <w:r>
        <w:t xml:space="preserve">Error analysis identifies out-of-vocabulary words as the dominant remaining</w:t>
      </w:r>
      <w:r>
        <w:t xml:space="preserve"> </w:t>
      </w:r>
      <w:r>
        <w:t xml:space="preserve">error source and reveals per-speaker WER variance the aggregate metric</w:t>
      </w:r>
      <w:r>
        <w:t xml:space="preserve"> </w:t>
      </w:r>
      <w:r>
        <w:t xml:space="preserve">conceals; an efficiency benchmark shows that a standard deployment</w:t>
      </w:r>
      <w:r>
        <w:t xml:space="preserve"> </w:t>
      </w:r>
      <w:r>
        <w:t xml:space="preserve">optimisation (dynamic int8 quantization) trades substantial model size for a</w:t>
      </w:r>
      <w:r>
        <w:t xml:space="preserve"> </w:t>
      </w:r>
      <w:r>
        <w:t xml:space="preserve">measured latency</w:t>
      </w:r>
      <w:r>
        <w:t xml:space="preserve"> </w:t>
      </w:r>
      <w:r>
        <w:rPr>
          <w:i/>
          <w:iCs/>
        </w:rPr>
        <w:t xml:space="preserve">regression</w:t>
      </w:r>
      <w:r>
        <w:t xml:space="preserve"> </w:t>
      </w:r>
      <w:r>
        <w:t xml:space="preserve">on this hardware, a caveat-worthy, honestly</w:t>
      </w:r>
      <w:r>
        <w:t xml:space="preserve"> </w:t>
      </w:r>
      <w:r>
        <w:t xml:space="preserve">reported result rather than an unambiguous win. Future work would extend the</w:t>
      </w:r>
      <w:r>
        <w:t xml:space="preserve"> </w:t>
      </w:r>
      <w:r>
        <w:t xml:space="preserve">fine-tuning corpus beyond 15 hours, replace the F0-pitch pseudo-label with</w:t>
      </w:r>
      <w:r>
        <w:t xml:space="preserve"> </w:t>
      </w:r>
      <w:r>
        <w:t xml:space="preserve">verified demographic metadata if a bias analysis is required, and repeat the</w:t>
      </w:r>
      <w:r>
        <w:t xml:space="preserve"> </w:t>
      </w:r>
      <w:r>
        <w:t xml:space="preserve">efficiency benchmark on x86/GPU hardware before drawing platform-general</w:t>
      </w:r>
      <w:r>
        <w:t xml:space="preserve"> </w:t>
      </w:r>
      <w:r>
        <w:t xml:space="preserve">deployment conclusions.</w:t>
      </w:r>
    </w:p>
    <w:bookmarkEnd w:id="24"/>
    <w:bookmarkStart w:id="25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Babu, A. et al. </w:t>
      </w:r>
      <w:r>
        <w:t xml:space="preserve">“XLS-R: Self-supervised Cross-lingual Speech Representation Learning at Scale”</w:t>
      </w:r>
      <w:r>
        <w:t xml:space="preserve">, 2021.</w:t>
      </w:r>
    </w:p>
    <w:p>
      <w:pPr>
        <w:pStyle w:val="Compact"/>
        <w:numPr>
          <w:ilvl w:val="0"/>
          <w:numId w:val="1001"/>
        </w:numPr>
      </w:pPr>
      <w:r>
        <w:t xml:space="preserve">Kjartansson, O. et al. </w:t>
      </w:r>
      <w:r>
        <w:t xml:space="preserve">“Crowd-Sourced Speech Corpora for Javanese, Sundanese, Sinhala, Nepali, and Bangladeshi Bengali”</w:t>
      </w:r>
      <w:r>
        <w:t xml:space="preserve">, SLTU 2018 (OpenSLR-54).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gagan3012/wav2vec2-xlsr-nepali</w:t>
      </w:r>
      <w:r>
        <w:t xml:space="preserve"> </w:t>
      </w:r>
      <w:r>
        <w:t xml:space="preserve">model card, Hugging Face.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gauravparajuli/slr43</w:t>
      </w:r>
      <w:r>
        <w:t xml:space="preserve"> </w:t>
      </w:r>
      <w:r>
        <w:t xml:space="preserve">dataset card, Hugging Face (OpenSLR-43).</w:t>
      </w:r>
    </w:p>
    <w:p>
      <w:pPr>
        <w:pStyle w:val="Compact"/>
        <w:numPr>
          <w:ilvl w:val="0"/>
          <w:numId w:val="1001"/>
        </w:numPr>
      </w:pPr>
      <w:r>
        <w:t xml:space="preserve">Hugging Face,</w:t>
      </w:r>
      <w:r>
        <w:t xml:space="preserve"> </w:t>
      </w:r>
      <w:r>
        <w:t xml:space="preserve">“Fine-Tune Wav2Vec2 for English ASR with Transformers”</w:t>
      </w:r>
      <w:r>
        <w:t xml:space="preserve"> </w:t>
      </w:r>
      <w:r>
        <w:t xml:space="preserve">(blog; the wav2vec2 CTC fine-tuning recipe followed in this project, adapted for continued fine-tuning of an already-adapted checkpoint).</w:t>
      </w:r>
    </w:p>
    <w:p>
      <w:pPr>
        <w:pStyle w:val="Compact"/>
        <w:numPr>
          <w:ilvl w:val="0"/>
          <w:numId w:val="1001"/>
        </w:numPr>
      </w:pPr>
      <w:r>
        <w:t xml:space="preserve">jiwer library documentation (WER/CER computation, character alignment).</w:t>
      </w:r>
    </w:p>
    <w:p>
      <w:pPr>
        <w:pStyle w:val="Compact"/>
        <w:numPr>
          <w:ilvl w:val="0"/>
          <w:numId w:val="1001"/>
        </w:numPr>
      </w:pPr>
      <w:r>
        <w:t xml:space="preserve">MLflow documentation (experiment tracking).</w:t>
      </w:r>
    </w:p>
    <w:bookmarkEnd w:id="25"/>
    <w:bookmarkStart w:id="26" w:name="appendix-pointers"/>
    <w:p>
      <w:pPr>
        <w:pStyle w:val="Heading2"/>
      </w:pPr>
      <w:r>
        <w:t xml:space="preserve">Appendix pointers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proposal.md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proposal.docx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proposal.pdf</w:t>
      </w:r>
      <w:r>
        <w:t xml:space="preserve"> </w:t>
      </w:r>
      <w:r>
        <w:t xml:space="preserve">— the original project proposal, reproduced verbatim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reports/phase4_audit_results.json</w:t>
      </w:r>
      <w:r>
        <w:t xml:space="preserve"> </w:t>
      </w:r>
      <w:r>
        <w:t xml:space="preserve">— Section 6.1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reports/phase6_notes.md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reports/phase6_train_full_*.json</w:t>
      </w:r>
      <w:r>
        <w:t xml:space="preserve"> </w:t>
      </w:r>
      <w:r>
        <w:t xml:space="preserve">— Section 4.2, 6.2 training details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reports/phase7_notes.md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reports/phase7_*_results.json</w:t>
      </w:r>
      <w:r>
        <w:t xml:space="preserve"> </w:t>
      </w:r>
      <w:r>
        <w:t xml:space="preserve">— Section 6.2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reports/phase9_error_analysis_results.json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reports/phase9_per_utterance.jsonl</w:t>
      </w:r>
      <w:r>
        <w:t xml:space="preserve"> </w:t>
      </w:r>
      <w:r>
        <w:t xml:space="preserve">— Section 6.3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reports/phase9_ablation_notes.md</w:t>
      </w:r>
      <w:r>
        <w:t xml:space="preserve"> </w:t>
      </w:r>
      <w:r>
        <w:t xml:space="preserve">— Section 6.4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reports/phase8_notes.md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reports/phase8_efficiency_results.json</w:t>
      </w:r>
      <w:r>
        <w:t xml:space="preserve"> </w:t>
      </w:r>
      <w:r>
        <w:t xml:space="preserve">— Section 6.5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src/*.py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scripts/*.py</w:t>
      </w:r>
      <w:r>
        <w:t xml:space="preserve"> </w:t>
      </w:r>
      <w:r>
        <w:t xml:space="preserve">— full code; external-source adaptations cited in module docstrings</w:t>
      </w:r>
    </w:p>
    <w:p>
      <w:pPr>
        <w:pStyle w:val="Compact"/>
        <w:numPr>
          <w:ilvl w:val="0"/>
          <w:numId w:val="1002"/>
        </w:numPr>
      </w:pPr>
      <w:r>
        <w:t xml:space="preserve">MLflow store (</w:t>
      </w:r>
      <w:r>
        <w:rPr>
          <w:rStyle w:val="VerbatimChar"/>
        </w:rPr>
        <w:t xml:space="preserve">mlruns/</w:t>
      </w:r>
      <w:r>
        <w:t xml:space="preserve">) — every run referenced in this report, with logged parameters and metrics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2026-07-29T02:38:22Z</dcterms:created>
  <dcterms:modified xsi:type="dcterms:W3CDTF">2026-07-29T02:38:22Z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