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43"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 / Keywords / Project Links</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7</w:t>
            </w:r>
          </w:p>
        </w:tc>
      </w:tr>
      <w:tr>
        <w:tc>
          <w:tcPr/>
          <w:p>
            <w:pPr>
              <w:pStyle w:val="Compact"/>
              <w:jc w:val="left"/>
            </w:pPr>
            <w:r>
              <w:t xml:space="preserve">   3.4 Preprocessing</w:t>
            </w:r>
          </w:p>
        </w:tc>
        <w:tc>
          <w:tcPr/>
          <w:p>
            <w:pPr>
              <w:pStyle w:val="Compact"/>
              <w:jc w:val="right"/>
            </w:pPr>
            <w:r>
              <w:t xml:space="preserve">8</w:t>
            </w:r>
          </w:p>
        </w:tc>
      </w:tr>
      <w:tr>
        <w:tc>
          <w:tcPr/>
          <w:p>
            <w:pPr>
              <w:pStyle w:val="Compact"/>
              <w:jc w:val="left"/>
            </w:pPr>
            <w:r>
              <w:t xml:space="preserve">   3.5 Task 1 Method — Benchmark Audit</w:t>
            </w:r>
          </w:p>
        </w:tc>
        <w:tc>
          <w:tcPr/>
          <w:p>
            <w:pPr>
              <w:pStyle w:val="Compact"/>
              <w:jc w:val="right"/>
            </w:pPr>
            <w:r>
              <w:t xml:space="preserve">8</w:t>
            </w:r>
          </w:p>
        </w:tc>
      </w:tr>
      <w:tr>
        <w:tc>
          <w:tcPr/>
          <w:p>
            <w:pPr>
              <w:pStyle w:val="Compact"/>
              <w:jc w:val="left"/>
            </w:pPr>
            <w:r>
              <w:t xml:space="preserve">   3.6 Task 2 Method — Fine-tuning Repair</w:t>
            </w:r>
          </w:p>
        </w:tc>
        <w:tc>
          <w:tcPr/>
          <w:p>
            <w:pPr>
              <w:pStyle w:val="Compact"/>
              <w:jc w:val="right"/>
            </w:pPr>
            <w:r>
              <w:t xml:space="preserve">8</w:t>
            </w:r>
          </w:p>
        </w:tc>
      </w:tr>
      <w:tr>
        <w:tc>
          <w:tcPr/>
          <w:p>
            <w:pPr>
              <w:pStyle w:val="Compact"/>
              <w:jc w:val="left"/>
            </w:pPr>
            <w:r>
              <w:t xml:space="preserve">4. Experimental Section</w:t>
            </w:r>
          </w:p>
        </w:tc>
        <w:tc>
          <w:tcPr/>
          <w:p>
            <w:pPr>
              <w:pStyle w:val="Compact"/>
              <w:jc w:val="right"/>
            </w:pPr>
            <w:r>
              <w:t xml:space="preserve">9</w:t>
            </w:r>
          </w:p>
        </w:tc>
      </w:tr>
      <w:tr>
        <w:tc>
          <w:tcPr/>
          <w:p>
            <w:pPr>
              <w:pStyle w:val="Compact"/>
              <w:jc w:val="left"/>
            </w:pPr>
            <w:r>
              <w:t xml:space="preserve">   4.1 Baseline audit</w:t>
            </w:r>
          </w:p>
        </w:tc>
        <w:tc>
          <w:tcPr/>
          <w:p>
            <w:pPr>
              <w:pStyle w:val="Compact"/>
              <w:jc w:val="right"/>
            </w:pPr>
            <w:r>
              <w:t xml:space="preserve">9</w:t>
            </w:r>
          </w:p>
        </w:tc>
      </w:tr>
      <w:tr>
        <w:tc>
          <w:tcPr/>
          <w:p>
            <w:pPr>
              <w:pStyle w:val="Compact"/>
              <w:jc w:val="left"/>
            </w:pPr>
            <w:r>
              <w:t xml:space="preserve">   4.2 Fine-tuned repair results</w:t>
            </w:r>
          </w:p>
        </w:tc>
        <w:tc>
          <w:tcPr/>
          <w:p>
            <w:pPr>
              <w:pStyle w:val="Compact"/>
              <w:jc w:val="right"/>
            </w:pPr>
            <w:r>
              <w:t xml:space="preserve">9</w:t>
            </w:r>
          </w:p>
        </w:tc>
      </w:tr>
      <w:tr>
        <w:tc>
          <w:tcPr/>
          <w:p>
            <w:pPr>
              <w:pStyle w:val="Compact"/>
              <w:jc w:val="left"/>
            </w:pPr>
            <w:r>
              <w:t xml:space="preserve">   4.3 Speaker-leakage ablation</w:t>
            </w:r>
          </w:p>
        </w:tc>
        <w:tc>
          <w:tcPr/>
          <w:p>
            <w:pPr>
              <w:pStyle w:val="Compact"/>
              <w:jc w:val="right"/>
            </w:pPr>
            <w:r>
              <w:t xml:space="preserve">10</w:t>
            </w:r>
          </w:p>
        </w:tc>
      </w:tr>
      <w:tr>
        <w:tc>
          <w:tcPr/>
          <w:p>
            <w:pPr>
              <w:pStyle w:val="Compact"/>
              <w:jc w:val="left"/>
            </w:pPr>
            <w:r>
              <w:t xml:space="preserve">   4.4 Error analysis</w:t>
            </w:r>
          </w:p>
        </w:tc>
        <w:tc>
          <w:tcPr/>
          <w:p>
            <w:pPr>
              <w:pStyle w:val="Compact"/>
              <w:jc w:val="right"/>
            </w:pPr>
            <w:r>
              <w:t xml:space="preserve">10</w:t>
            </w:r>
          </w:p>
        </w:tc>
      </w:tr>
      <w:tr>
        <w:tc>
          <w:tcPr/>
          <w:p>
            <w:pPr>
              <w:pStyle w:val="Compact"/>
              <w:jc w:val="left"/>
            </w:pPr>
            <w:r>
              <w:t xml:space="preserve">   4.5 Deployment / efficiency benchmark</w:t>
            </w:r>
          </w:p>
        </w:tc>
        <w:tc>
          <w:tcPr/>
          <w:p>
            <w:pPr>
              <w:pStyle w:val="Compact"/>
              <w:jc w:val="right"/>
            </w:pPr>
            <w:r>
              <w:t xml:space="preserve">11</w:t>
            </w:r>
          </w:p>
        </w:tc>
      </w:tr>
      <w:tr>
        <w:tc>
          <w:tcPr/>
          <w:p>
            <w:pPr>
              <w:pStyle w:val="Compact"/>
              <w:jc w:val="left"/>
            </w:pPr>
            <w:r>
              <w:t xml:space="preserve">5. Discussion of Findings</w:t>
            </w:r>
          </w:p>
        </w:tc>
        <w:tc>
          <w:tcPr/>
          <w:p>
            <w:pPr>
              <w:pStyle w:val="Compact"/>
              <w:jc w:val="right"/>
            </w:pPr>
            <w:r>
              <w:t xml:space="preserve">11</w:t>
            </w:r>
          </w:p>
        </w:tc>
      </w:tr>
      <w:tr>
        <w:tc>
          <w:tcPr/>
          <w:p>
            <w:pPr>
              <w:pStyle w:val="Compact"/>
              <w:jc w:val="left"/>
            </w:pPr>
            <w:r>
              <w:t xml:space="preserve">6. Conclusion</w:t>
            </w:r>
          </w:p>
        </w:tc>
        <w:tc>
          <w:tcPr/>
          <w:p>
            <w:pPr>
              <w:pStyle w:val="Compact"/>
              <w:jc w:val="right"/>
            </w:pPr>
            <w:r>
              <w:t xml:space="preserve">12</w:t>
            </w:r>
          </w:p>
        </w:tc>
      </w:tr>
      <w:tr>
        <w:tc>
          <w:tcPr/>
          <w:p>
            <w:pPr>
              <w:pStyle w:val="Compact"/>
              <w:jc w:val="left"/>
            </w:pPr>
            <w:r>
              <w:t xml:space="preserve">References</w:t>
            </w:r>
          </w:p>
        </w:tc>
        <w:tc>
          <w:tcPr/>
          <w:p>
            <w:pPr>
              <w:pStyle w:val="Compact"/>
              <w:jc w:val="right"/>
            </w:pPr>
            <w:r>
              <w:t xml:space="preserve">12</w:t>
            </w:r>
          </w:p>
        </w:tc>
      </w:tr>
      <w:tr>
        <w:tc>
          <w:tcPr/>
          <w:p>
            <w:pPr>
              <w:pStyle w:val="Compact"/>
              <w:jc w:val="left"/>
            </w:pPr>
            <w:r>
              <w:t xml:space="preserve">Appendices</w:t>
            </w:r>
          </w:p>
        </w:tc>
        <w:tc>
          <w:tcPr/>
          <w:p>
            <w:pPr>
              <w:pStyle w:val="Compact"/>
              <w:jc w:val="right"/>
            </w:pPr>
            <w:r>
              <w:t xml:space="preserve">13</w:t>
            </w:r>
          </w:p>
        </w:tc>
      </w:tr>
      <w:tr>
        <w:tc>
          <w:tcPr/>
          <w:p>
            <w:pPr>
              <w:pStyle w:val="Compact"/>
              <w:jc w:val="left"/>
            </w:pPr>
            <w:r>
              <w:t xml:space="preserve">   Appendix A — Project Proposal (Verbatim)</w:t>
            </w:r>
          </w:p>
        </w:tc>
        <w:tc>
          <w:tcPr/>
          <w:p>
            <w:pPr>
              <w:pStyle w:val="Compact"/>
              <w:jc w:val="right"/>
            </w:pPr>
            <w:r>
              <w:t xml:space="preserve">14</w:t>
            </w:r>
          </w:p>
        </w:tc>
      </w:tr>
      <w:tr>
        <w:tc>
          <w:tcPr/>
          <w:p>
            <w:pPr>
              <w:pStyle w:val="Compact"/>
              <w:jc w:val="left"/>
            </w:pPr>
            <w:r>
              <w:t xml:space="preserve">   Appendix B — Full Code Listing</w:t>
            </w:r>
          </w:p>
        </w:tc>
        <w:tc>
          <w:tcPr/>
          <w:p>
            <w:pPr>
              <w:pStyle w:val="Compact"/>
              <w:jc w:val="right"/>
            </w:pPr>
            <w:r>
              <w:t xml:space="preserve">16</w:t>
            </w:r>
          </w:p>
        </w:tc>
      </w:tr>
      <w:tr>
        <w:tc>
          <w:tcPr/>
          <w:p>
            <w:pPr>
              <w:pStyle w:val="Compact"/>
              <w:jc w:val="left"/>
            </w:pPr>
            <w:r>
              <w:t xml:space="preserve">   Appendix C — Evidence and Reproducibility Artifacts</w:t>
            </w:r>
          </w:p>
        </w:tc>
        <w:tc>
          <w:tcPr/>
          <w:p>
            <w:pPr>
              <w:pStyle w:val="Compact"/>
              <w:jc w:val="right"/>
            </w:pPr>
            <w:r>
              <w:t xml:space="preserve">57</w:t>
            </w:r>
          </w:p>
        </w:tc>
      </w:tr>
      <w:tr>
        <w:tc>
          <w:tcPr/>
          <w:p>
            <w:pPr>
              <w:pStyle w:val="Compact"/>
              <w:jc w:val="left"/>
            </w:pPr>
            <w:r>
              <w:t xml:space="preserve">   Appendix D — Extended Results Tables</w:t>
            </w:r>
          </w:p>
        </w:tc>
        <w:tc>
          <w:tcPr/>
          <w:p>
            <w:pPr>
              <w:pStyle w:val="Compact"/>
              <w:jc w:val="right"/>
            </w:pPr>
            <w:r>
              <w:t xml:space="preserve">60</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p>
      <w:pPr>
        <w:pStyle w:val="BodyText"/>
      </w:pPr>
      <w:r>
        <w:rPr>
          <w:b/>
          <w:bCs/>
        </w:rPr>
        <w:t xml:space="preserve">Keywords:</w:t>
      </w:r>
      <w:r>
        <w:t xml:space="preserve"> </w:t>
      </w:r>
      <w:r>
        <w:t xml:space="preserve">Nepali Automatic Speech Recognition, XLS-R, wav2vec2, CTC Fine-tuning, Speaker-Disjoint Evaluation, Speaker-Leakage Ablation, Low-Resource Speech Recognition, Model Quantization, MLflow, Benchmark Generalization Gap</w:t>
      </w:r>
    </w:p>
    <w:bookmarkEnd w:id="14"/>
    <w:bookmarkStart w:id="17" w:name="project-links"/>
    <w:p>
      <w:pPr>
        <w:pStyle w:val="Heading2"/>
      </w:pPr>
      <w:r>
        <w:t xml:space="preserve">Project Links</w:t>
      </w:r>
    </w:p>
    <w:p>
      <w:pPr>
        <w:pStyle w:val="FirstParagraph"/>
      </w:pPr>
      <w:r>
        <w:rPr>
          <w:b/>
          <w:bCs/>
        </w:rPr>
        <w:t xml:space="preserve">GitHub Repository:</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 — full source code, MLflow run data, and reports.</w:t>
      </w:r>
    </w:p>
    <w:p>
      <w:pPr>
        <w:pStyle w:val="BodyText"/>
      </w:pPr>
      <w:r>
        <w:rPr>
          <w:b/>
          <w:bCs/>
        </w:rPr>
        <w:t xml:space="preserve">YouTube Presentation:</w:t>
      </w:r>
      <w:r>
        <w:t xml:space="preserve"> </w:t>
      </w:r>
      <w:hyperlink r:id="rId16">
        <w:r>
          <w:rPr>
            <w:rStyle w:val="Hyperlink"/>
          </w:rPr>
          <w:t xml:space="preserve">youtu.be/WNg52rptkoU</w:t>
        </w:r>
      </w:hyperlink>
    </w:p>
    <w:bookmarkEnd w:id="17"/>
    <w:bookmarkStart w:id="18"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8"/>
    <w:bookmarkStart w:id="19"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9"/>
    <w:bookmarkStart w:id="32" w:name="problem-tasks-method"/>
    <w:p>
      <w:pPr>
        <w:pStyle w:val="Heading2"/>
      </w:pPr>
      <w:r>
        <w:t xml:space="preserve">3. Problem / Tasks / Method</w:t>
      </w:r>
    </w:p>
    <w:bookmarkStart w:id="20"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20"/>
    <w:bookmarkStart w:id="27" w:name="system-architecture"/>
    <w:p>
      <w:pPr>
        <w:pStyle w:val="Heading3"/>
      </w:pPr>
      <w:r>
        <w:t xml:space="preserve">3.2 System Architecture</w:t>
      </w:r>
    </w:p>
    <w:p>
      <w:pPr>
        <w:pStyle w:val="FirstParagraph"/>
      </w:pPr>
      <w:r>
        <w:t xml:space="preserve">Figure 1 shows the internal architecture of the audited model itself — XLS-R (wav2vec2) — rather than only the surrounding experimental process, so it is clear exactly which layers exist and which of them are actually updated during fine-tuning. Raw audio passes through a 7-block convolutional feature encoder (50 Hz latent frame rate), then a 24-layer transformer encoder with relative positional convolutional embeddings, then a linear projection to a per-frame vocabulary distribution, decoded greedily under the CTC objective into Devanagari text. The convolutional feature encoder is</w:t>
      </w:r>
      <w:r>
        <w:t xml:space="preserve"> </w:t>
      </w:r>
      <w:r>
        <w:rPr>
          <w:b/>
          <w:bCs/>
        </w:rPr>
        <w:t xml:space="preserve">frozen</w:t>
      </w:r>
      <w:r>
        <w:t xml:space="preserve"> </w:t>
      </w:r>
      <w:r>
        <w:t xml:space="preserve">throughout this project (in both Task 1’s zero-shot evaluation and Task 2’s fine-tuning); Task 2 updates only the transformer encoder and CTC head via backpropagated CTC loss, keeping the model’s own tokenizer/vocabulary fixed so RQ2’s comparison isolates the effect of training-data speaker diversity rather than architectural change.</w:t>
      </w:r>
    </w:p>
    <w:p>
      <w:pPr>
        <w:pStyle w:val="CaptionedFigure"/>
      </w:pPr>
      <w:r>
        <w:drawing>
          <wp:inline>
            <wp:extent cx="5334000" cy="6978285"/>
            <wp:effectExtent b="0" l="0" r="0" t="0"/>
            <wp:docPr descr="Figure 1. XLS-R (wav2vec2) architecture, showing the CNN feature encoder, transformer encoder, and CTC head, with frozen vs. fine-tuned components marked." title="" id="22" name="Picture"/>
            <a:graphic>
              <a:graphicData uri="http://schemas.openxmlformats.org/drawingml/2006/picture">
                <pic:pic>
                  <pic:nvPicPr>
                    <pic:cNvPr descr="appendix_screenshots/figure1_architecture.png" id="23" name="Picture"/>
                    <pic:cNvPicPr>
                      <a:picLocks noChangeArrowheads="1" noChangeAspect="1"/>
                    </pic:cNvPicPr>
                  </pic:nvPicPr>
                  <pic:blipFill>
                    <a:blip r:embed="rId21"/>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XLS-R (wav2vec2) architecture, showing the CNN feature encoder, transformer encoder, and CTC head, with frozen vs. fine-tuned components marked.</w:t>
      </w:r>
    </w:p>
    <w:p>
      <w:pPr>
        <w:pStyle w:val="BodyText"/>
      </w:pPr>
      <w:r>
        <w:t xml:space="preserve">Figure 2 shows the surrounding experimental pipeline that connects the two tasks to the shared downstream analyses. The audited checkpoint is the single starting point for both: Task 1 evaluates it as-is (zero-shot) on both corpora to establish the audit finding; Task 2 fine-tunes the same checkpoint as described above.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2. Experimental pipeline: from the audited checkpoint through both tasks to the shared downstream analyses." title="" id="25" name="Picture"/>
            <a:graphic>
              <a:graphicData uri="http://schemas.openxmlformats.org/drawingml/2006/picture">
                <pic:pic>
                  <pic:nvPicPr>
                    <pic:cNvPr descr="appendix_screenshots/figure1_pipeline.png" id="26" name="Picture"/>
                    <pic:cNvPicPr>
                      <a:picLocks noChangeArrowheads="1" noChangeAspect="1"/>
                    </pic:cNvPicPr>
                  </pic:nvPicPr>
                  <pic:blipFill>
                    <a:blip r:embed="rId24"/>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2. Experimental pipeline: from the audited checkpoint through both tasks to the shared downstream analyses.</w:t>
      </w:r>
    </w:p>
    <w:bookmarkEnd w:id="27"/>
    <w:bookmarkStart w:id="28"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8"/>
    <w:bookmarkStart w:id="29"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9"/>
    <w:bookmarkStart w:id="30"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30"/>
    <w:bookmarkStart w:id="31"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31"/>
    <w:bookmarkEnd w:id="32"/>
    <w:bookmarkStart w:id="38"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33"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33"/>
    <w:bookmarkStart w:id="34"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34"/>
    <w:bookmarkStart w:id="35"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35"/>
    <w:bookmarkStart w:id="36"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6"/>
    <w:bookmarkStart w:id="37"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7"/>
    <w:bookmarkEnd w:id="38"/>
    <w:bookmarkStart w:id="39"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bookmarkEnd w:id="39"/>
    <w:bookmarkStart w:id="40" w:name="conclusion"/>
    <w:p>
      <w:pPr>
        <w:pStyle w:val="Heading2"/>
      </w:pPr>
      <w:r>
        <w:t xml:space="preserve">6. Conclusion</w:t>
      </w:r>
    </w:p>
    <w:p>
      <w:pPr>
        <w:pStyle w:val="FirstParagraph"/>
      </w:pPr>
      <w:r>
        <w:t xml:space="preserve">This project set out to answer whether a specific published Nepali ASR benchmark claim (5.97% WER) survives contact with speaker-diverse speech (RQ1), and whether the same model can be repaired if not (RQ2). It does not survive: the same checkpoint’s WER rises to 62.30% on a different, multi-speaker corpus. Fine-tuning that checkpoint on a 15-hour, speaker-disjoint, 160-speaker subset repairs a substantial share of that gap (to 38.17% WER), at a disclosed cost to the model’s original narrow-domain sharpness, and a matched-budget ablation confirms this improvement is genuine rather than a leakage artefact. The contribution of this project is an open, reproducible Nepali ASR audit-and-repair case study with an accompanying efficiency benchmark — not a claim of new state-of-the-art performance. Future work would extend the fine-tuning corpus beyond 15 hours, replace the F0-pitch pseudo-label with verified demographic metadata should a real bias analysis be required, and test on conversational or code-switched Nepali speech rather than read speech alone.</w:t>
      </w:r>
    </w:p>
    <w:bookmarkEnd w:id="40"/>
    <w:bookmarkStart w:id="41"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41"/>
    <w:bookmarkStart w:id="42" w:name="appendices-not-counted-in-word-limit"/>
    <w:p>
      <w:pPr>
        <w:pStyle w:val="Heading2"/>
      </w:pPr>
      <w:r>
        <w:t xml:space="preserve">Appendices (not counted in word limit)</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2026-07-30T03:32:24Z</dcterms:created>
  <dcterms:modified xsi:type="dcterms:W3CDTF">2026-07-30T03:32:24Z</dcterms:modified>
</cp:coreProperties>
</file>

<file path=docProps/custom.xml><?xml version="1.0" encoding="utf-8"?>
<Properties xmlns="http://schemas.openxmlformats.org/officeDocument/2006/custom-properties" xmlns:vt="http://schemas.openxmlformats.org/officeDocument/2006/docPropsVTypes"/>
</file>