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500"/>
        <w:jc w:val="center"/>
      </w:pPr>
      <w:r>
        <w:drawing>
          <wp:inline distT="0" distB="0" distL="0" distR="0">
            <wp:extent cx="4762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NSTT-Lite: Nepali Speech-to-Text with Whisper-Small</w:t>
      </w:r>
    </w:p>
    <w:p>
      <w:pPr>
        <w:spacing w:after="400"/>
        <w:jc w:val="center"/>
      </w:pPr>
      <w:r>
        <w:rPr>
          <w:i/>
          <w:iCs/>
          <w:color w:val="B45309"/>
          <w:sz w:val="24"/>
          <w:szCs w:val="24"/>
        </w:rPr>
        <w:t xml:space="preserve">Draft Report Structure — Synthetic Placeholder Values</w:t>
      </w:r>
    </w:p>
    <w:p>
      <w:pPr>
        <w:jc w:val="center"/>
      </w:pPr>
      <w:r>
        <w:t xml:space="preserve">Module: ST7088CEM — Artificial Neural Networks</w:t>
      </w:r>
    </w:p>
    <w:p>
      <w:pPr>
        <w:jc w:val="center"/>
      </w:pPr>
      <w:r>
        <w:t xml:space="preserve">Student: Bimochan Raj Kunwar — Coventry ID: 17108924</w:t>
      </w:r>
    </w:p>
    <w:p>
      <w:pPr>
        <w:jc w:val="center"/>
      </w:pPr>
      <w:r>
        <w:t xml:space="preserve">Word budget target: 4500 words (strict, excludes appendices)</w:t>
      </w:r>
    </w:p>
    <w:p>
      <w:r>
        <w:br w:type="page"/>
      </w:r>
    </w:p>
    <w:p>
      <w:pPr>
        <w:spacing w:after="150"/>
      </w:pPr>
      <w:r>
        <w:rPr>
          <w:i/>
          <w:iCs/>
          <w:color w:val="666666"/>
        </w:rPr>
        <w:t xml:space="preserve">Every value marked in orange italics with the tag [SYNTH] is a placeholder and MUST be replaced with real output from the actual pipeline runs before submission.</w:t>
      </w:r>
    </w:p>
    <w:p>
      <w:pPr>
        <w:pStyle w:val="Heading1"/>
        <w:spacing w:after="150" w:before="300"/>
      </w:pPr>
      <w:r>
        <w:t xml:space="preserve">Abstract (~250 words)</w:t>
      </w:r>
    </w:p>
    <w:p>
      <w:pPr>
        <w:spacing w:after="200"/>
      </w:pPr>
      <w:r>
        <w:t xml:space="preserve">Automatic speech recognition (ASR) for Nepali remains under-served by general-purpose multilingual systems, which show substantially degraded zero-shot performance on low-resource languages. This project fine-tunes OpenAI's Whisper-small on a Nepali speech corpus (OpenSLR-54) and evaluates the resulting improvement in Word Error Rate (WER) and Character Error Rate (CER) relative to zero-shot baselines. A second, distinct task is addressed alongside ASR: classifying speaker gender from Whisper's own encoder embeddings, evaluated against acoustic pseudo-labels rather than ground-truth demographic data. </w:t>
      </w:r>
      <w:r>
        <w:rPr>
          <w:i/>
          <w:iCs/>
          <w:color w:val="B45309"/>
        </w:rPr>
        <w:t xml:space="preserve">[SYNTH: one-sentence summary of headline WER improvement, e.g. "Fine-tuning reduced WER from X% to Y%."] </w:t>
      </w:r>
      <w:r>
        <w:t xml:space="preserve">The gender classifier is compared against a majority-class baseline to test whether meaningful signal exists in the encoder representations for this auxiliary task. </w:t>
      </w:r>
      <w:r>
        <w:rPr>
          <w:i/>
          <w:iCs/>
          <w:color w:val="B45309"/>
        </w:rPr>
        <w:t xml:space="preserve">[SYNTH: one-sentence summary of gender classification result and whether it beat baseline.] </w:t>
      </w:r>
      <w:r>
        <w:t xml:space="preserve">Beyond accuracy, the fine-tuned model is benchmarked for deployment efficiency via CTranslate2/Faster-Whisper conversion, reporting model size and inference latency. All comparisons are restricted to open, reproducible models — no proprietary or closed commercial systems are used as benchmarks, consistent with the reproducibility requirements of this project. The contribution is framed as an open, reproducible Nepali ASR fine-tuning and efficiency study rather than a claim of new state-of-the-art performance.</w:t>
      </w:r>
    </w:p>
    <w:p>
      <w:pPr>
        <w:pStyle w:val="Heading1"/>
        <w:spacing w:after="150" w:before="300"/>
      </w:pPr>
      <w:r>
        <w:t xml:space="preserve">1. Introduction (~300 words)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Motivation: Nepali is low-resource in ASR pretraining; zero-shot performance of general models is poor.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in one sentence: fine-tune Whisper-small on Nepali speech (Task 1: ASR) and classify speaker gender from encoder embeddings (Task 2: classification).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RQ1: Does fine-tuning meaningfully reduce WER/CER vs. zero-shot on Nepali?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RQ2: Can speaker gender be predicted from Whisper's own encoder representations, given only acoustic pseudo-labels (no ground truth)?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One-sentence roadmap of the report.</w:t>
      </w:r>
    </w:p>
    <w:p>
      <w:pPr>
        <w:pStyle w:val="Heading1"/>
        <w:spacing w:after="150" w:before="300"/>
      </w:pPr>
      <w:r>
        <w:t xml:space="preserve">2. Background / Related Work (~600 words)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ASR fundamentals: encoder-decoder transformer architecture (brief, cite the paper, do not re-explain in full).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Low-resource ASR challenges: data scarcity, dialectal variation, code-switching.</w:t>
      </w:r>
    </w:p>
    <w:p>
      <w:pPr>
        <w:spacing w:after="120"/>
      </w:pPr>
      <w:r>
        <w:t xml:space="preserve">Prior Nepali ASR work: </w:t>
      </w:r>
      <w:r>
        <w:rPr>
          <w:i/>
          <w:iCs/>
          <w:color w:val="B45309"/>
        </w:rPr>
        <w:t xml:space="preserve">[SYNTH: cite 2–3 real academic papers on Nepali / low-resource ASR once sourced]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Commercial systems mentioned as context only — explicitly note these are NOT the comparison baseline, since evaluation is restricted to open, reproducible 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Speaker gender classification from speech embeddings: brief mention of prior pitch/F0-based and embedding-based approaches as precedent.</w:t>
      </w:r>
    </w:p>
    <w:p>
      <w:pPr>
        <w:pStyle w:val="Heading1"/>
        <w:spacing w:after="150" w:before="300"/>
      </w:pPr>
      <w:r>
        <w:t xml:space="preserve">3. Problem / Tasks / Method (~900 words)</w:t>
      </w:r>
    </w:p>
    <w:p>
      <w:pPr>
        <w:pStyle w:val="Heading2"/>
        <w:spacing w:after="100" w:before="200"/>
      </w:pPr>
      <w:r>
        <w:t xml:space="preserve">3.1 Problem statement</w:t>
      </w:r>
    </w:p>
    <w:p>
      <w:pPr>
        <w:spacing w:after="120"/>
      </w:pPr>
      <w:r>
        <w:t xml:space="preserve">Formal restatement of RQ1 / RQ2.</w:t>
      </w:r>
    </w:p>
    <w:p>
      <w:pPr>
        <w:pStyle w:val="Heading2"/>
        <w:spacing w:after="100" w:before="200"/>
      </w:pPr>
      <w:r>
        <w:t xml:space="preserve">3.2 System Architecture</w:t>
      </w:r>
    </w:p>
    <w:p>
      <w:pPr>
        <w:spacing w:after="120"/>
      </w:pPr>
      <w:r>
        <w:t xml:space="preserve">The diagram below shows the shared Whisper-small encoder feeding two separate downstream branches: a fine-tuned decoder for ASR (Task 1) and a lightweight classifier head on pooled embeddings for gender prediction (Task 2).</w:t>
      </w:r>
    </w:p>
    <w:p>
      <w:pPr>
        <w:spacing w:after="80" w:before="100"/>
        <w:jc w:val="center"/>
      </w:pPr>
      <w:r>
        <w:drawing>
          <wp:inline distT="0" distB="0" distL="0" distR="0">
            <wp:extent cx="4572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1. NSTT-Lite system architecture: shared encoder with two task-specific branches.</w:t>
      </w:r>
    </w:p>
    <w:p>
      <w:pPr>
        <w:pStyle w:val="Heading2"/>
        <w:spacing w:after="100" w:before="200"/>
      </w:pPr>
      <w:r>
        <w:t xml:space="preserve">3.3 Dataset</w:t>
      </w:r>
    </w:p>
    <w:p>
      <w:pPr>
        <w:spacing w:after="120"/>
      </w:pPr>
      <w:r>
        <w:t xml:space="preserve">OpenSLR-54: </w:t>
      </w:r>
      <w:r>
        <w:rPr>
          <w:i/>
          <w:iCs/>
          <w:color w:val="B45309"/>
        </w:rPr>
        <w:t xml:space="preserve">[SYNTH: N utterances used], [SYNTH: N hours], [SYNTH: N speakers], CC BY-SA 4.0.</w:t>
      </w:r>
    </w:p>
    <w:p>
      <w:pPr>
        <w:spacing w:after="120"/>
      </w:pPr>
      <w:r>
        <w:t xml:space="preserve">Speaker-disjoint split: </w:t>
      </w:r>
      <w:r>
        <w:rPr>
          <w:i/>
          <w:iCs/>
          <w:color w:val="B45309"/>
        </w:rPr>
        <w:t xml:space="preserve">[SYNTH: train 70% / val 15% / test 15%, by speaker not utterance].</w:t>
      </w:r>
    </w:p>
    <w:p>
      <w:pPr>
        <w:spacing w:after="120"/>
      </w:pPr>
      <w:r>
        <w:t xml:space="preserve">Note explicitly: gender labels are acoustic pseudo-labels (F0 threshold), not ground truth — a stated limitation, not hidden.</w:t>
      </w:r>
    </w:p>
    <w:p>
      <w:pPr>
        <w:pStyle w:val="Heading2"/>
        <w:spacing w:after="100" w:before="200"/>
      </w:pPr>
      <w:r>
        <w:t xml:space="preserve">3.4 Preprocessing</w:t>
      </w:r>
    </w:p>
    <w:p>
      <w:pPr>
        <w:spacing w:after="120"/>
      </w:pPr>
      <w:r>
        <w:t xml:space="preserve">Audio: </w:t>
      </w:r>
      <w:r>
        <w:rPr>
          <w:i/>
          <w:iCs/>
          <w:color w:val="B45309"/>
        </w:rPr>
        <w:t xml:space="preserve">[SYNTH: resampling rate, normalization method].</w:t>
      </w:r>
    </w:p>
    <w:p>
      <w:pPr>
        <w:spacing w:after="120"/>
      </w:pPr>
      <w:r>
        <w:t xml:space="preserve">Text: Devanagari normalization (Unicode NFC, punctuation stripping).</w:t>
      </w:r>
    </w:p>
    <w:p>
      <w:pPr>
        <w:pStyle w:val="Heading2"/>
        <w:spacing w:after="100" w:before="200"/>
      </w:pPr>
      <w:r>
        <w:t xml:space="preserve">3.5 Task 1 Method — ASR fine-tuning</w:t>
      </w:r>
    </w:p>
    <w:p>
      <w:pPr>
        <w:spacing w:after="120"/>
      </w:pPr>
      <w:r>
        <w:t xml:space="preserve">Base model: Whisper-small (openai/whisper-small).</w:t>
      </w:r>
    </w:p>
    <w:p>
      <w:pPr>
        <w:spacing w:after="120"/>
      </w:pPr>
      <w:r>
        <w:t xml:space="preserve">Fine-tuning setup: </w:t>
      </w:r>
      <w:r>
        <w:rPr>
          <w:i/>
          <w:iCs/>
          <w:color w:val="B45309"/>
        </w:rPr>
        <w:t xml:space="preserve">[SYNTH: learning rate, batch size, steps, epochs, hardware — Colab T4].</w:t>
      </w:r>
    </w:p>
    <w:p>
      <w:pPr>
        <w:spacing w:after="120"/>
      </w:pPr>
      <w:r>
        <w:t xml:space="preserve">Modifications made and why: </w:t>
      </w:r>
      <w:r>
        <w:rPr>
          <w:i/>
          <w:iCs/>
          <w:color w:val="B45309"/>
        </w:rPr>
        <w:t xml:space="preserve">[SYNTH: fill from actual run].</w:t>
      </w:r>
    </w:p>
    <w:p>
      <w:pPr>
        <w:pStyle w:val="Heading2"/>
        <w:spacing w:after="100" w:before="200"/>
      </w:pPr>
      <w:r>
        <w:t xml:space="preserve">3.6 Task 2 Method — Gender classification</w:t>
      </w:r>
    </w:p>
    <w:p>
      <w:pPr>
        <w:spacing w:after="120"/>
      </w:pPr>
      <w:r>
        <w:t xml:space="preserve">Feature extraction: mean-pooled Whisper encoder embeddings.</w:t>
      </w:r>
    </w:p>
    <w:p>
      <w:pPr>
        <w:spacing w:after="120"/>
      </w:pPr>
      <w:r>
        <w:t xml:space="preserve">Classifier head: </w:t>
      </w:r>
      <w:r>
        <w:rPr>
          <w:i/>
          <w:iCs/>
          <w:color w:val="B45309"/>
        </w:rPr>
        <w:t xml:space="preserve">[SYNTH: architecture — e.g. 2-layer MLP, dims, activation, dropout].</w:t>
      </w:r>
    </w:p>
    <w:p>
      <w:pPr>
        <w:spacing w:after="120"/>
      </w:pPr>
      <w:r>
        <w:t xml:space="preserve">Baseline: majority-class predictor.</w:t>
      </w:r>
    </w:p>
    <w:p>
      <w:pPr>
        <w:spacing w:after="80" w:before="150"/>
        <w:jc w:val="center"/>
      </w:pPr>
      <w:r>
        <w:drawing>
          <wp:inline distT="0" distB="0" distL="0" distR="0">
            <wp:extent cx="447675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2. Neural network diagram of the gender classifier head — pooled embedding input, two dense hidden layers with dropout, softmax output.</w:t>
      </w:r>
    </w:p>
    <w:p>
      <w:pPr>
        <w:pStyle w:val="Heading1"/>
        <w:spacing w:after="150" w:before="300"/>
      </w:pPr>
      <w:r>
        <w:t xml:space="preserve">4. Experimental Section (~1200 words)</w:t>
      </w:r>
    </w:p>
    <w:p>
      <w:pPr>
        <w:pStyle w:val="Heading2"/>
        <w:spacing w:after="100" w:before="200"/>
      </w:pPr>
      <w:r>
        <w:t xml:space="preserve">4.1 Baselines (zero-shot, open models only)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400"/>
        <w:gridCol w:w="1600"/>
        <w:gridCol w:w="1200"/>
      </w:tblGrid>
      <w:tr>
        <w:tc>
          <w:tcPr>
            <w:tcW w:type="dxa" w:w="24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2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WER%</w:t>
            </w:r>
          </w:p>
        </w:tc>
        <w:tc>
          <w:tcPr>
            <w:tcW w:type="dxa" w:w="12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CER%</w:t>
            </w:r>
          </w:p>
        </w:tc>
        <w:tc>
          <w:tcPr>
            <w:tcW w:type="dxa" w:w="14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Params</w:t>
            </w:r>
          </w:p>
        </w:tc>
        <w:tc>
          <w:tcPr>
            <w:tcW w:type="dxa" w:w="16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Size (MB)</w:t>
            </w:r>
          </w:p>
        </w:tc>
        <w:tc>
          <w:tcPr>
            <w:tcW w:type="dxa" w:w="12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RTFx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Whisper-small (zero-shot)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45.2]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28.1]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[SYNTH 244M]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[SYNTH 483]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12x]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Whisper-medium (zero-shot)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38.7]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22.4]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[SYNTH 769M]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[SYNTH 1530]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6x]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MMS-1b-all (zero-shot)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52.3]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31.0]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[SYNTH 1B]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[SYNTH 3900]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[SYNTH 3x]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4.2 Fine-tuned ASR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00"/>
      </w:tblGrid>
      <w:tr>
        <w:tc>
          <w:tcPr>
            <w:tcW w:type="dxa" w:w="30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8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WER%</w:t>
            </w:r>
          </w:p>
        </w:tc>
        <w:tc>
          <w:tcPr>
            <w:tcW w:type="dxa" w:w="18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CER%</w:t>
            </w:r>
          </w:p>
        </w:tc>
        <w:tc>
          <w:tcPr>
            <w:tcW w:type="dxa" w:w="24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Δ WER vs. zero-shot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Whisper-small (fine-tuned)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[SYNTH 18.4]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[SYNTH 9.2]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[SYNTH -26.8 pts]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4.3 Gender classification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c>
          <w:tcPr>
            <w:tcW w:type="dxa" w:w="34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8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2800"/>
            <w:shd w:fill="1F3B57" w:val="clear"/>
          </w:tcPr>
          <w:p>
            <w:r>
              <w:rPr>
                <w:b/>
                <w:bCs/>
                <w:color w:val="FFFFFF"/>
              </w:rPr>
              <w:t xml:space="preserve">Majority baseline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Encoder-embedding classifier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[SYNTH 71.3%]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[SYNTH 61.2%]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4.4 Ablation studies</w:t>
      </w:r>
    </w:p>
    <w:p>
      <w:pPr>
        <w:spacing w:after="120"/>
      </w:pPr>
      <w:r>
        <w:t xml:space="preserve">Speaker-disjoint vs. leaky split: </w:t>
      </w:r>
      <w:r>
        <w:rPr>
          <w:i/>
          <w:iCs/>
          <w:color w:val="B45309"/>
        </w:rPr>
        <w:t xml:space="preserve">[SYNTH: describe effect on reported WER].</w:t>
      </w:r>
    </w:p>
    <w:p>
      <w:pPr>
        <w:spacing w:after="120"/>
      </w:pPr>
      <w:r>
        <w:t xml:space="preserve">Matched training-step comparison: </w:t>
      </w:r>
      <w:r>
        <w:rPr>
          <w:i/>
          <w:iCs/>
          <w:color w:val="B45309"/>
        </w:rPr>
        <w:t xml:space="preserve">[SYNTH: fill].</w:t>
      </w:r>
    </w:p>
    <w:p>
      <w:pPr>
        <w:pStyle w:val="Heading2"/>
        <w:spacing w:after="100" w:before="200"/>
      </w:pPr>
      <w:r>
        <w:t xml:space="preserve">4.5 Deployment benchmark</w:t>
      </w:r>
    </w:p>
    <w:p>
      <w:pPr>
        <w:spacing w:after="120"/>
      </w:pPr>
      <w:r>
        <w:t xml:space="preserve">CTranslate2 / Faster-Whisper conversion: </w:t>
      </w:r>
      <w:r>
        <w:rPr>
          <w:i/>
          <w:iCs/>
          <w:color w:val="B45309"/>
        </w:rPr>
        <w:t xml:space="preserve">[SYNTH: latency ms/utterance, size reduction %].</w:t>
      </w:r>
    </w:p>
    <w:p>
      <w:pPr>
        <w:pStyle w:val="Heading2"/>
        <w:spacing w:after="100" w:before="200"/>
      </w:pPr>
      <w:r>
        <w:t xml:space="preserve">4.6 Error analysis</w:t>
      </w:r>
    </w:p>
    <w:p>
      <w:pPr>
        <w:spacing w:after="120"/>
      </w:pPr>
      <w:r>
        <w:t xml:space="preserve">Worst 10 examples per model — categorize errors (code-switching, dialect, noise, short utterances). Include a table/figure summarizing error categories with counts.</w:t>
      </w:r>
    </w:p>
    <w:p>
      <w:pPr>
        <w:pStyle w:val="Heading1"/>
        <w:spacing w:after="150" w:before="300"/>
      </w:pPr>
      <w:r>
        <w:t xml:space="preserve">5. Discussion of Findings (~1000 words)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Answer RQ1 directly: did fine-tuning close the gap meaningfully? Compare to related-work numbers qualitatively.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Answer RQ2 directly, including honest treatment if result is negative or only modestly above baseline — explain likely causes (pseudo-label noise, embedding suitability, class imbalance).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Discuss the deployment tradeoff (accuracy vs. size vs. latency) as the originality angle.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Discuss limitations: pseudo-labeled gender data, corpus size relative to commercial-scale training, single-domain audio (read speech, not conversational).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 back to the real-world motivation from the introduction.</w:t>
      </w:r>
    </w:p>
    <w:p>
      <w:pPr>
        <w:pStyle w:val="Heading1"/>
        <w:spacing w:after="150" w:before="300"/>
      </w:pPr>
      <w:r>
        <w:t xml:space="preserve">6. Conclusion (~300 words)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Summarize what was demonstrated for each task.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 contribution: an open, reproducible Nepali ASR fine-tuning + efficiency benchmark, not a claim of new SOTA.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Future work: larger fine-tuning run, real gender labels, conversational/code-switched data.</w:t>
      </w:r>
    </w:p>
    <w:p>
      <w:pPr>
        <w:pStyle w:val="Heading1"/>
        <w:spacing w:after="150" w:before="300"/>
      </w:pPr>
      <w:r>
        <w:t xml:space="preserve">References</w:t>
      </w:r>
    </w:p>
    <w:p>
      <w:pPr>
        <w:spacing w:after="120"/>
      </w:pPr>
      <w:r>
        <w:t xml:space="preserve"> </w:t>
      </w:r>
      <w:r>
        <w:rPr>
          <w:i/>
          <w:iCs/>
          <w:color w:val="B45309"/>
        </w:rPr>
        <w:t xml:space="preserve">[SYNTH: Whisper paper (Radford et al.), OpenSLR54 / Kjartansson et al. SLTU 2018, MMS paper, any Nepali ASR prior work found during background research, jiwer/library citations if required by referencing style]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Appendices (not counted in word limit)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Appendix A: Project proposal (verbatim, exact submitted version)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Appendix B: Full code (all scripts, in totality, clearly marked if any portion is adapted from an external source)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Appendix C: Screenshots of every experiment run, showing device/software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Appendix D: Extended results tables (per-sample WER, full error analysis list)</w:t>
      </w:r>
    </w:p>
    <w:p>
      <w:pPr>
        <w:spacing w:before="400"/>
      </w:pPr>
    </w:p>
    <w:p>
      <w:pPr>
        <w:spacing w:after="150"/>
      </w:pPr>
      <w:r>
        <w:rPr>
          <w:i/>
          <w:iCs/>
          <w:color w:val="666666"/>
        </w:rPr>
        <w:t xml:space="preserve">Notes for replacement pass: search this document for "[SYNTH" to locate every placeholder before submission. None of these values should appear in the final report as-is.</w:t>
      </w:r>
    </w:p>
    <w:sectPr>
      <w:headerReference w:type="default" r:id="rId7"/>
      <w:head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2981325" cy="8286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132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64c97a3befbc528699c736f400190d7ebc1c47ae.png"/><Relationship Id="rId10" Type="http://schemas.openxmlformats.org/officeDocument/2006/relationships/image" Target="media/968b5da6763c81a8073d2ea298ef5030a9cac6e7.png"/><Relationship Id="rId11" Type="http://schemas.openxmlformats.org/officeDocument/2006/relationships/image" Target="media/2466970e59a06b36a4f426aefca1de4fad486c6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4c97a3befbc528699c736f400190d7ebc1c47ae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2026-07-23T02:24:26.856Z</dcterms:created>
  <dcterms:modified xsi:type="dcterms:W3CDTF">2026-07-23T02:24:26.856Z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