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youtube-presentation-script-storyboard"/>
    <w:p>
      <w:pPr>
        <w:pStyle w:val="Heading1"/>
      </w:pPr>
      <w:r>
        <w:t xml:space="preserve">YouTube Presentation — Script &amp; Storyboard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Auditing and Repairing a Published Nepali ASR Model — A Speaker-Diversity Case Study on XLS-R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t xml:space="preserve">ST7088CEM — Artificial Neural Networks</w:t>
      </w:r>
      <w:r>
        <w:t xml:space="preserve"> </w:t>
      </w:r>
      <w:r>
        <w:rPr>
          <w:b/>
          <w:bCs/>
        </w:rPr>
        <w:t xml:space="preserve">Student:</w:t>
      </w:r>
      <w:r>
        <w:t xml:space="preserve"> </w:t>
      </w:r>
      <w:r>
        <w:t xml:space="preserve">Bimochan Raj Kunwar — Coventry ID: 17108924</w:t>
      </w:r>
      <w:r>
        <w:t xml:space="preserve"> </w:t>
      </w:r>
      <w:r>
        <w:rPr>
          <w:b/>
          <w:bCs/>
        </w:rPr>
        <w:t xml:space="preserve">Target length:</w:t>
      </w:r>
      <w:r>
        <w:t xml:space="preserve"> </w:t>
      </w:r>
      <w:r>
        <w:t xml:space="preserve">~7–9 minutes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video itself has not been recorded yet — this document is the script/storyboard to record from. Once recorded and uploaded, the YouTube link should replace the placeholder in the report’s</w:t>
      </w:r>
      <w:r>
        <w:t xml:space="preserve"> </w:t>
      </w:r>
      <w:r>
        <w:t xml:space="preserve">“Project Links”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Start w:id="9" w:name="scene-1-title-hook-000040"/>
    <w:p>
      <w:pPr>
        <w:pStyle w:val="Heading2"/>
      </w:pPr>
      <w:r>
        <w:t xml:space="preserve">Scene 1 — Title / Hook (0:00–0:40)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Cover slide — title, your name/ID, Softwarica/Coventry logo.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“Hi, I’m Bimochan Raj Kunwar. This is my ST7088CEM Artificial Neural Networks project: auditing a published Nepali speech recognition model, and then repairing it. There’s a public Nepali ASR model on Hugging Face that claims a 5.97% word error rate — remarkably good for a low-resource language. I wanted to find out: does that number actually hold up on real, diverse speech? Spoiler — it doesn’t, by a lot. Let me show you.”</w:t>
      </w:r>
    </w:p>
    <w:p>
      <w:r>
        <w:pict>
          <v:rect style="width:0;height:1.5pt" o:hralign="center" o:hrstd="t" o:hr="t"/>
        </w:pict>
      </w:r>
    </w:p>
    <w:bookmarkEnd w:id="9"/>
    <w:bookmarkStart w:id="10" w:name="scene-2-the-problem-040145"/>
    <w:p>
      <w:pPr>
        <w:pStyle w:val="Heading2"/>
      </w:pPr>
      <w:r>
        <w:t xml:space="preserve">Scene 2 — The Problem (0:40–1:45)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Slide with the model name</w:t>
      </w:r>
      <w:r>
        <w:t xml:space="preserve"> </w:t>
      </w:r>
      <w:r>
        <w:rPr>
          <w:rStyle w:val="VerbatimChar"/>
        </w:rPr>
        <w:t xml:space="preserve">gagan3012/wav2vec2-xlsr-nepali</w:t>
      </w:r>
      <w:r>
        <w:t xml:space="preserve"> </w:t>
      </w:r>
      <w:r>
        <w:t xml:space="preserve">and the 5.97% figure, next to a note</w:t>
      </w:r>
      <w:r>
        <w:t xml:space="preserve"> </w:t>
      </w:r>
      <w:r>
        <w:t xml:space="preserve">“measured on OpenSLR-43 — single speaker.”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“This model was benchmarked on OpenSLR-43 — a dataset recorded by a single female speaker. That’s the problem: a benchmark on one voice tells you almost nothing about how the model handles different speakers, accents, or recording conditions. This is a common issue in low-resource ASR research generally, not just this one model. So I framed two research questions: RQ1 — does the published claim survive contact with genuinely diverse speech? RQ2 — if not, can I repair the model by fine-tuning it, and is any improvement genuine or just a measurement artefact?”</w:t>
      </w:r>
    </w:p>
    <w:p>
      <w:r>
        <w:pict>
          <v:rect style="width:0;height:1.5pt" o:hralign="center" o:hrstd="t" o:hr="t"/>
        </w:pict>
      </w:r>
    </w:p>
    <w:bookmarkEnd w:id="10"/>
    <w:bookmarkStart w:id="11" w:name="scene-3-architecture-walkthrough-145315"/>
    <w:p>
      <w:pPr>
        <w:pStyle w:val="Heading2"/>
      </w:pPr>
      <w:r>
        <w:t xml:space="preserve">Scene 3 — Architecture Walkthrough (1:45–3:15)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Figure 1 from the report — the XLS-R/wav2vec2 architecture diagram (CNN feature encoder → transformer encoder → CTC head, frozen vs. fine-tuned coloring). Point/highlight each block as you talk.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“Here’s the model architecture — XLS-R, a wav2vec2 variant. Raw audio goes through a convolutional feature encoder — seven conv layers that turn the waveform into a sequence of latent frames. That feeds a 24-layer transformer encoder, which builds contextualised representations using self-attention. Finally a linear layer plus a CTC head produces per-frame character probabilities, decoded into Devanagari text.</w:t>
      </w:r>
    </w:p>
    <w:p>
      <w:pPr>
        <w:pStyle w:val="BodyText"/>
      </w:pPr>
      <w:r>
        <w:t xml:space="preserve">The important part for this project: I kept the CNN feature encoder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the whole time — in both the zero-shot audit and the fine-tuning. When I fine-tune, I only update the transformer encoder and the CTC head, using the CTC loss. I also keep the checkpoint’s own vocabulary — I’m repairing this exact model, not training a new one or swapping in a different architecture like Whisper, which I actually considered and dropped early on, because changing architecture would confound the comparison.”</w:t>
      </w:r>
    </w:p>
    <w:p>
      <w:r>
        <w:pict>
          <v:rect style="width:0;height:1.5pt" o:hralign="center" o:hrstd="t" o:hr="t"/>
        </w:pict>
      </w:r>
    </w:p>
    <w:bookmarkEnd w:id="11"/>
    <w:bookmarkStart w:id="12" w:name="scene-4-task-1-the-audit-315430"/>
    <w:p>
      <w:pPr>
        <w:pStyle w:val="Heading2"/>
      </w:pPr>
      <w:r>
        <w:t xml:space="preserve">Scene 4 — Task 1: The Audit (3:15–4:30)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Table from Section 4.1 — Self-reported 5.97%, measured in-domain 4.91%, out-of-domain 62.30%.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“Task 1: I reproduced the published number in-domain and got 4.91% WER — actually slightly better, so the claim technically holds on its own data. Then I ran the exact same checkpoint, zero-shot, on OpenSLR-54 — a completely different, multi-speaker Nepali corpus, 160 speakers. WER jumped to 62.30%. That’s a twelve-fold degradation. So RQ1’s answer is no — the published number does not describe real-world, multi-speaker performance.”</w:t>
      </w:r>
    </w:p>
    <w:p>
      <w:r>
        <w:pict>
          <v:rect style="width:0;height:1.5pt" o:hralign="center" o:hrstd="t" o:hr="t"/>
        </w:pict>
      </w:r>
    </w:p>
    <w:bookmarkEnd w:id="12"/>
    <w:bookmarkStart w:id="13" w:name="scene-5-task-2-the-repair-430545"/>
    <w:p>
      <w:pPr>
        <w:pStyle w:val="Heading2"/>
      </w:pPr>
      <w:r>
        <w:t xml:space="preserve">Scene 5 — Task 2: The Repair (4:30–5:45)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Table from Section 4.2 — original vs. fine-tuned, 4.91→16.40 / 62.30→38.17.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“Task 2: I fine-tuned that same checkpoint on a 15-hour, 160-speaker, speaker-disjoint subset of OpenSLR-54 — meaning zero speaker overlap between train, validation, and test. Out-of-domain WER fell from 62.30% to 38.17% — a 39% relative improvement. I’m also honest about the cost: in-domain WER rose from 4.91% to 16.40%, because the model is now adapted toward diverse speech rather than that one original speaker. That’s an expected specialisation trade-off, not a bug.”</w:t>
      </w:r>
    </w:p>
    <w:p>
      <w:r>
        <w:pict>
          <v:rect style="width:0;height:1.5pt" o:hralign="center" o:hrstd="t" o:hr="t"/>
        </w:pict>
      </w:r>
    </w:p>
    <w:bookmarkEnd w:id="13"/>
    <w:bookmarkStart w:id="14" w:name="X2768fe998249312f68089935cd591947520619e"/>
    <w:p>
      <w:pPr>
        <w:pStyle w:val="Heading2"/>
      </w:pPr>
      <w:r>
        <w:t xml:space="preserve">Scene 6 — The Ablation: Why the Split Matters (5:45–7:00)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Table from Section 4.3 — disjoint 38.17% vs. leaky 32.55%.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“Here’s the part I think matters most methodologically. I trained a second model, identical setup, identical budget — but on a</w:t>
      </w:r>
      <w:r>
        <w:t xml:space="preserve"> </w:t>
      </w:r>
      <w:r>
        <w:rPr>
          <w:b/>
          <w:bCs/>
        </w:rPr>
        <w:t xml:space="preserve">leaky</w:t>
      </w:r>
      <w:r>
        <w:t xml:space="preserve"> </w:t>
      </w:r>
      <w:r>
        <w:t xml:space="preserve">split, where each speaker’s utterances are scattered randomly across train, validation, and test instead of being kept separate. That leaky model scored 32.55% — better than the properly disjoint model’s 38.17%. But that’s not a real improvement — it’s leakage. The leaky test set isn’t truly unseen, because the model has already partially learned those speakers’ voices during training. This confirms that if I — or anyone else — evaluates without controlling for speaker overlap, the reported number is inflated. It’s the same failure mode that produced the original misleading 5.97% benchmark, just demonstrated at a smaller scale on my own data.”</w:t>
      </w:r>
    </w:p>
    <w:p>
      <w:r>
        <w:pict>
          <v:rect style="width:0;height:1.5pt" o:hralign="center" o:hrstd="t" o:hr="t"/>
        </w:pict>
      </w:r>
    </w:p>
    <w:bookmarkEnd w:id="14"/>
    <w:bookmarkStart w:id="15" w:name="X16cac34cb00b5101acc730e7ed8e6364348b30b"/>
    <w:p>
      <w:pPr>
        <w:pStyle w:val="Heading2"/>
      </w:pPr>
      <w:r>
        <w:t xml:space="preserve">Scene 7 — Efficiency: The Honest Negative Result (7:00–8:00)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Table from Section 4.5 — FP32 vs INT8, size 1203.6MB→48.5MB, latency 204.7ms→335.2ms.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“Last piece: I also benchmarked deployment efficiency. Dynamic INT8 quantization shrank the model by 96% — from about 1.2GB to 48.5MB. But it was actually 1.64 times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on this Apple Silicon hardware, not faster, because the fast quantized kernels aren’t available outside x86. I’m reporting that honestly rather than only showing the size win — a deployment optimisation that looks good on paper doesn’t automatically transfer to every platform.”</w:t>
      </w:r>
    </w:p>
    <w:p>
      <w:r>
        <w:pict>
          <v:rect style="width:0;height:1.5pt" o:hralign="center" o:hrstd="t" o:hr="t"/>
        </w:pict>
      </w:r>
    </w:p>
    <w:bookmarkEnd w:id="15"/>
    <w:bookmarkStart w:id="16" w:name="scene-8-conclusion-800845"/>
    <w:p>
      <w:pPr>
        <w:pStyle w:val="Heading2"/>
      </w:pPr>
      <w:r>
        <w:t xml:space="preserve">Scene 8 — Conclusion (8:00–8:45)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Summary slide with the two RQs and headline numbers, GitHub link visible on screen.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“So: RQ1 — the published 5.97% claim does not generalise to diverse speakers, degrading to 62.30% WER. RQ2 — yes, fine-tuning genuinely repairs a large share of that gap, down to 38.17%, and the speaker-leakage ablation confirms that improvement is real, not a measurement artefact. Everything here — code, MLflow experiment logs, data manifests, and the full report — is public on GitHub, link on screen and in the description. Thanks for watching.”</w:t>
      </w:r>
    </w:p>
    <w:p>
      <w:pPr>
        <w:pStyle w:val="BodyText"/>
      </w:pPr>
      <w:r>
        <w:rPr>
          <w:b/>
          <w:bCs/>
        </w:rPr>
        <w:t xml:space="preserve">Screen text overlay:</w:t>
      </w:r>
      <w:r>
        <w:t xml:space="preserve"> </w:t>
      </w:r>
      <w:r>
        <w:rPr>
          <w:rStyle w:val="VerbatimChar"/>
        </w:rPr>
        <w:t xml:space="preserve">github.com/Rbimochan/NSTT-Lite</w:t>
      </w:r>
    </w:p>
    <w:p>
      <w:r>
        <w:pict>
          <v:rect style="width:0;height:1.5pt" o:hralign="center" o:hrstd="t" o:hr="t"/>
        </w:pict>
      </w:r>
    </w:p>
    <w:bookmarkEnd w:id="16"/>
    <w:bookmarkStart w:id="17" w:name="production-notes"/>
    <w:p>
      <w:pPr>
        <w:pStyle w:val="Heading2"/>
      </w:pPr>
      <w:r>
        <w:t xml:space="preserve">Production notes</w:t>
      </w:r>
    </w:p>
    <w:p>
      <w:pPr>
        <w:pStyle w:val="Compact"/>
        <w:numPr>
          <w:ilvl w:val="0"/>
          <w:numId w:val="1001"/>
        </w:numPr>
      </w:pPr>
      <w:r>
        <w:t xml:space="preserve">Record screen capture of the MLflow UI (Appendix C screenshots) briefly during Scene 4–5 if time allows, to visually back up the</w:t>
      </w:r>
      <w:r>
        <w:t xml:space="preserve"> </w:t>
      </w:r>
      <w:r>
        <w:t xml:space="preserve">“tracked with MLflow”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01"/>
        </w:numPr>
      </w:pPr>
      <w:r>
        <w:t xml:space="preserve">Keep each on-screen table visible for at least 8–10 seconds before cutting — these are the evidentiary core of the video.</w:t>
      </w:r>
    </w:p>
    <w:p>
      <w:pPr>
        <w:pStyle w:val="Compact"/>
        <w:numPr>
          <w:ilvl w:val="0"/>
          <w:numId w:val="1001"/>
        </w:numPr>
      </w:pPr>
      <w:r>
        <w:t xml:space="preserve">Optional B-roll: a few lines of terminal output from</w:t>
      </w:r>
      <w:r>
        <w:t xml:space="preserve"> </w:t>
      </w:r>
      <w:r>
        <w:rPr>
          <w:rStyle w:val="VerbatimChar"/>
        </w:rPr>
        <w:t xml:space="preserve">run_efficiency_benchmark.py</w:t>
      </w:r>
      <w:r>
        <w:t xml:space="preserve"> </w:t>
      </w:r>
      <w:r>
        <w:t xml:space="preserve">for Scene 7.</w:t>
      </w:r>
    </w:p>
    <w:p>
      <w:pPr>
        <w:pStyle w:val="Compact"/>
        <w:numPr>
          <w:ilvl w:val="0"/>
          <w:numId w:val="1001"/>
        </w:numPr>
      </w:pPr>
      <w:r>
        <w:t xml:space="preserve">After recording and uploading, replace the placeholder in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’s</w:t>
      </w:r>
      <w:r>
        <w:t xml:space="preserve"> </w:t>
      </w:r>
      <w:r>
        <w:t xml:space="preserve">“Project Links”</w:t>
      </w:r>
      <w:r>
        <w:t xml:space="preserve"> </w:t>
      </w:r>
      <w:r>
        <w:t xml:space="preserve">section (and this file’s header note) with the real YouTube URL.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2026-07-29T07:34:38Z</dcterms:created>
  <dcterms:modified xsi:type="dcterms:W3CDTF">2026-07-29T07:34:38Z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