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Fuzzy Phonemes</w:t>
      </w:r>
    </w:p>
    <w:p>
      <w:pPr>
        <w:spacing w:after="100"/>
        <w:jc w:val="center"/>
      </w:pPr>
      <w:r>
        <w:rPr>
          <w:b/>
          <w:bCs/>
          <w:sz w:val="26"/>
          <w:szCs w:val="26"/>
        </w:rPr>
        <w:t xml:space="preserve">Classification, Optimization, and Text Mining for Disambiguating Confusable Words in Low-Resource Nepali ASR</w:t>
      </w:r>
    </w:p>
    <w:p>
      <w:pPr>
        <w:spacing w:after="60"/>
        <w:jc w:val="center"/>
      </w:pPr>
      <w:r>
        <w:rPr>
          <w:i/>
          <w:iCs/>
          <w:color w:val="555555"/>
          <w:sz w:val="24"/>
          <w:szCs w:val="24"/>
        </w:rPr>
        <w:t xml:space="preserve">Pre-Proposal</w:t>
      </w:r>
    </w:p>
    <w:p>
      <w:pPr>
        <w:spacing w:after="400"/>
        <w:jc w:val="center"/>
      </w:pPr>
      <w:r>
        <w:rPr>
          <w:b/>
          <w:bCs/>
          <w:color w:val="B00020"/>
          <w:sz w:val="22"/>
          <w:szCs w:val="22"/>
        </w:rPr>
        <w:t xml:space="preserve">Timeline cap: 14 days</w:t>
      </w:r>
    </w:p>
    <w:p>
      <w:pPr>
        <w:pStyle w:val="Heading1"/>
        <w:spacing w:after="150" w:before="300"/>
      </w:pPr>
      <w:r>
        <w:t xml:space="preserve">Abstract</w:t>
      </w:r>
    </w:p>
    <w:p>
      <w:pPr>
        <w:spacing w:after="150"/>
      </w:pPr>
      <w:r>
        <w:t xml:space="preserve">Automatic speech recognition (ASR) systems for Nepali, a low-resource language, systematically confuse pairs of words that differ by a single phonemic contrast — retroflex vs. dental consonants, aspirated vs. unaspirated stops, or vowel length — as well as pairs that are visually or orthographically similar in the Devanagari script. No existing Nepali speech resource is designed to measure or diagnose this confusability directly, and no prior system combines fuzzy-membership phonetic scoring with a trained classifier and optimization for Nepali confusable-word disambiguation. This proposal outlines (1) a two-layer dataset — an existing base corpus layer for vocabulary/frequency/background ASR, layered with a new, purpose-built minimal-pairs dataset of 300–500 clips across roughly 50 confusable word pairs and 5–8 speakers each — and (2) a fuzzy-phonetic classification-and-optimization pipeline for disambiguating these pairs in ASR output. The full plan — dataset construction, literature grounding, and paper drafting — is scoped to a 14-day cap.</w:t>
      </w:r>
    </w:p>
    <w:p>
      <w:pPr>
        <w:pStyle w:val="Heading1"/>
        <w:spacing w:after="150" w:before="300"/>
      </w:pPr>
      <w:r>
        <w:t xml:space="preserve">1. Motivation and Problem Statement</w:t>
      </w:r>
    </w:p>
    <w:p>
      <w:pPr>
        <w:spacing w:after="150"/>
      </w:pPr>
      <w:r>
        <w:t xml:space="preserve">Nepali ASR systems, whether commercial or research-grade, are trained predominantly on read-speech or crowd-sourced corpora that were not designed to stress-test phonemic confusability. As a result, systematic error patterns in confusable word pairs (e.g., भात vs. भाट) go undocumented and unmeasured. Nepali's phoneme inventory includes several contrasts that are perceptually and acoustically close — dental/retroflex stops, aspirated/unaspirated stops, and vowel length distinctions — and these contrasts also interact with regional dialect variation (Kathmandu valley, Terai, hill dialects). Without a dedicated resource and disambiguation method, it is not possible to systematically quantify which pairs are confused, by whom, under what conditions, and why — or to correct for it downstream.</w:t>
      </w:r>
    </w:p>
    <w:p>
      <w:pPr>
        <w:pStyle w:val="Heading1"/>
        <w:spacing w:after="150" w:before="300"/>
      </w:pPr>
      <w:r>
        <w:t xml:space="preserve">2. Related Work</w:t>
      </w:r>
    </w:p>
    <w:p>
      <w:pPr>
        <w:spacing w:after="150"/>
      </w:pPr>
      <w:r>
        <w:t xml:space="preserve">The literature was surveyed across four relevance pillars — (1) fuzzy logic + phonetic confusion + ASR error correction, (2) ASR post-processing / N-best re-ranking / homophone disambiguation, (3) Nepali/Indic low-resource NLP and speech, and (4) foundational ML, optimization, and embeddings. A full annotated bibliography of 25 verified papers is maintained separately (see compass_artifact_wf-49b0073f-9161-5a8f-b990-faec71b76e2a_text_markdown.md). Five papers anchor the Related Work section directly:</w:t>
      </w:r>
    </w:p>
    <w:p>
      <w:pPr>
        <w:pStyle w:val="ListParagraph"/>
        <w:numPr>
          <w:ilvl w:val="0"/>
          <w:numId w:val="2"/>
        </w:numPr>
        <w:spacing w:after="60"/>
      </w:pPr>
      <w:r>
        <w:t xml:space="preserve">Ghimire, Bal &amp; Poudyal (2024). "A Comprehensive Study of the Current State-of-the-Art in Nepali Automatic Speech Recognition Systems." arXiv:2402.03050 — establishes the low-resource Nepali ASR landscape this work builds on.</w:t>
      </w:r>
    </w:p>
    <w:p>
      <w:pPr>
        <w:pStyle w:val="ListParagraph"/>
        <w:numPr>
          <w:ilvl w:val="0"/>
          <w:numId w:val="2"/>
        </w:numPr>
        <w:spacing w:after="60"/>
      </w:pPr>
      <w:r>
        <w:t xml:space="preserve">Sharma, Dhawan &amp; Pailla (2021). "Phonetic Word Embeddings." arXiv:2109.14796 — models phonetic similarity for confusable-word grouping, validated on Hindi.</w:t>
      </w:r>
    </w:p>
    <w:p>
      <w:pPr>
        <w:pStyle w:val="ListParagraph"/>
        <w:numPr>
          <w:ilvl w:val="0"/>
          <w:numId w:val="2"/>
        </w:numPr>
        <w:spacing w:after="60"/>
      </w:pPr>
      <w:r>
        <w:t xml:space="preserve">Jain, Jindal &amp; Jain (2024). "Code-mixed Hindi-English text correction using fuzzy graph and word embedding." Expert Systems 41(7):e13328 — near-exact methodological template: fuzzy logic + embeddings + Indic-language error correction.</w:t>
      </w:r>
    </w:p>
    <w:p>
      <w:pPr>
        <w:pStyle w:val="ListParagraph"/>
        <w:numPr>
          <w:ilvl w:val="0"/>
          <w:numId w:val="2"/>
        </w:numPr>
        <w:spacing w:after="60"/>
      </w:pPr>
      <w:r>
        <w:t xml:space="preserve">Cai, Yang, Zhang, Qin &amp; Li (2019). "Polyphone Disambiguation for Mandarin Chinese Using Conditional Neural Network with Multi-level Embedding Features." arXiv:1907.01749 — classification-based disambiguation of similar-sounding units, with a reported 94.69% accuracy benchmark.</w:t>
      </w:r>
    </w:p>
    <w:p>
      <w:pPr>
        <w:pStyle w:val="ListParagraph"/>
        <w:numPr>
          <w:ilvl w:val="0"/>
          <w:numId w:val="2"/>
        </w:numPr>
        <w:spacing w:after="60"/>
      </w:pPr>
      <w:r>
        <w:t xml:space="preserve">Zadeh, L.A. (1965). "Fuzzy Sets." Information and Control 8(3):338–353 — the foundational theory anchor for every fuzzy-logic claim in this work.</w:t>
      </w:r>
    </w:p>
    <w:p>
      <w:pPr>
        <w:spacing w:after="150"/>
      </w:pPr>
      <w:r>
        <w:t xml:space="preserve">Together these five cover language/dataset grounding, phonetic similarity modeling, fuzzy-logic + Indic-language precedent, a classification-based disambiguation parallel, and the theoretical foundation. Notably, the genuine "fuzzy + phonetic + ASR" intersection is thin and partly grey-literature, which supports this work's novelty claim; the Related Work section therefore leans on the mature Pillar 2 (ASR post-processing/re-ranking) and Pillar 3 (Nepali/Indic grounding) papers for methodological credibility, positioning the fuzzy contribution as the gap being filled.</w:t>
      </w:r>
    </w:p>
    <w:p>
      <w:pPr>
        <w:pStyle w:val="Heading1"/>
        <w:spacing w:after="150" w:before="300"/>
      </w:pPr>
      <w:r>
        <w:t xml:space="preserve">3. Proposed Approach</w:t>
      </w:r>
    </w:p>
    <w:p>
      <w:pPr>
        <w:spacing w:after="150"/>
      </w:pPr>
      <w:r>
        <w:t xml:space="preserve">The dataset is structured in two layers, and the disambiguation method is a fuzzy-phonetic classification-and-optimization pipeline built on top of it.</w:t>
      </w:r>
    </w:p>
    <w:p>
      <w:pPr>
        <w:pStyle w:val="Heading2"/>
        <w:spacing w:after="100" w:before="200"/>
      </w:pPr>
      <w:r>
        <w:t xml:space="preserve">Layer 1 — Base Corpus (existing, used as-is)</w:t>
      </w:r>
    </w:p>
    <w:p>
      <w:pPr>
        <w:pStyle w:val="ListParagraph"/>
        <w:numPr>
          <w:ilvl w:val="0"/>
          <w:numId w:val="3"/>
        </w:numPr>
        <w:spacing w:after="60"/>
      </w:pPr>
      <w:r>
        <w:t xml:space="preserve">SLR54 (~157,000 utterances): vocabulary source and background ASR fine-tuning / error mining</w:t>
      </w:r>
    </w:p>
    <w:p>
      <w:pPr>
        <w:pStyle w:val="ListParagraph"/>
        <w:numPr>
          <w:ilvl w:val="0"/>
          <w:numId w:val="3"/>
        </w:numPr>
        <w:spacing w:after="60"/>
      </w:pPr>
      <w:r>
        <w:t xml:space="preserve">SLR43 (Nepali TTS, female speakers): supplementary acoustic diversity from a distinct speaker/recording style</w:t>
      </w:r>
    </w:p>
    <w:p>
      <w:pPr>
        <w:pStyle w:val="ListParagraph"/>
        <w:numPr>
          <w:ilvl w:val="0"/>
          <w:numId w:val="3"/>
        </w:numPr>
        <w:spacing w:after="60"/>
      </w:pPr>
      <w:r>
        <w:t xml:space="preserve">Common Voice Nepali: speaker diversity across age, gender, and accent</w:t>
      </w:r>
    </w:p>
    <w:p>
      <w:pPr>
        <w:spacing w:after="150"/>
      </w:pPr>
      <w:r>
        <w:t xml:space="preserve">Purpose: extract real Nepali word-frequency lists and provide a background ASR model against which confusability can later be tested.</w:t>
      </w:r>
    </w:p>
    <w:p>
      <w:pPr>
        <w:pStyle w:val="Heading2"/>
        <w:spacing w:after="100" w:before="200"/>
      </w:pPr>
      <w:r>
        <w:t xml:space="preserve">Layer 2 — Minimal-Pairs Dataset (new contribution)</w:t>
      </w:r>
    </w:p>
    <w:p>
      <w:pPr>
        <w:spacing w:after="150"/>
      </w:pPr>
      <w:r>
        <w:t xml:space="preserve">A purpose-built resource that does not currently exist for Nepali. Its design, not merely its size, is what makes it useful for confusability research.</w:t>
      </w:r>
    </w:p>
    <w:p>
      <w:pPr>
        <w:pStyle w:val="Heading1"/>
        <w:spacing w:after="150" w:before="300"/>
      </w:pPr>
      <w:r>
        <w:t xml:space="preserve">4. Dataset Design</w:t>
      </w:r>
    </w:p>
    <w:p>
      <w:pPr>
        <w:spacing w:after="150"/>
      </w:pPr>
      <w:r>
        <w:t xml:space="preserve">Each contribution is structured as a pair unit rather than a single clip.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E2F3" w:color="auto" w:val="clear"/>
          </w:tcPr>
          <w:p>
            <w:r>
              <w:rPr>
                <w:b/>
                <w:bCs/>
                <w:sz w:val="20"/>
                <w:szCs w:val="20"/>
              </w:rPr>
              <w:t xml:space="preserve">Field</w:t>
            </w:r>
          </w:p>
        </w:tc>
        <w:tc>
          <w:tcPr>
            <w:tcW w:type="dxa" w:w="6400"/>
            <w:shd w:fill="D9E2F3" w:color="auto" w:val="clear"/>
          </w:tcPr>
          <w:p>
            <w:r>
              <w:rPr>
                <w:b/>
                <w:bCs/>
                <w:sz w:val="20"/>
                <w:szCs w:val="20"/>
              </w:rPr>
              <w:t xml:space="preserve">Description</w:t>
            </w:r>
          </w:p>
        </w:tc>
      </w:tr>
      <w:tr>
        <w:tc>
          <w:tcPr>
            <w:tcW w:type="dxa" w:w="2600"/>
          </w:tcPr>
          <w:p>
            <w:r>
              <w:rPr>
                <w:b w:val="false"/>
                <w:bCs w:val="false"/>
                <w:sz w:val="20"/>
                <w:szCs w:val="20"/>
              </w:rPr>
              <w:t xml:space="preserve">word_A, word_B</w:t>
            </w:r>
          </w:p>
        </w:tc>
        <w:tc>
          <w:tcPr>
            <w:tcW w:type="dxa" w:w="6400"/>
          </w:tcPr>
          <w:p>
            <w:r>
              <w:rPr>
                <w:b w:val="false"/>
                <w:bCs w:val="false"/>
                <w:sz w:val="20"/>
                <w:szCs w:val="20"/>
              </w:rPr>
              <w:t xml:space="preserve">The confusable word pair (e.g. भात vs. भाट)</w:t>
            </w:r>
          </w:p>
        </w:tc>
      </w:tr>
      <w:tr>
        <w:tc>
          <w:tcPr>
            <w:tcW w:type="dxa" w:w="2600"/>
          </w:tcPr>
          <w:p>
            <w:r>
              <w:rPr>
                <w:b w:val="false"/>
                <w:bCs w:val="false"/>
                <w:sz w:val="20"/>
                <w:szCs w:val="20"/>
              </w:rPr>
              <w:t xml:space="preserve">speaker_id</w:t>
            </w:r>
          </w:p>
        </w:tc>
        <w:tc>
          <w:tcPr>
            <w:tcW w:type="dxa" w:w="6400"/>
          </w:tcPr>
          <w:p>
            <w:r>
              <w:rPr>
                <w:b w:val="false"/>
                <w:bCs w:val="false"/>
                <w:sz w:val="20"/>
                <w:szCs w:val="20"/>
              </w:rPr>
              <w:t xml:space="preserve">Anonymized speaker identifier</w:t>
            </w:r>
          </w:p>
        </w:tc>
      </w:tr>
      <w:tr>
        <w:tc>
          <w:tcPr>
            <w:tcW w:type="dxa" w:w="2600"/>
          </w:tcPr>
          <w:p>
            <w:r>
              <w:rPr>
                <w:b w:val="false"/>
                <w:bCs w:val="false"/>
                <w:sz w:val="20"/>
                <w:szCs w:val="20"/>
              </w:rPr>
              <w:t xml:space="preserve">age_bracket</w:t>
            </w:r>
          </w:p>
        </w:tc>
        <w:tc>
          <w:tcPr>
            <w:tcW w:type="dxa" w:w="6400"/>
          </w:tcPr>
          <w:p>
            <w:r>
              <w:rPr>
                <w:b w:val="false"/>
                <w:bCs w:val="false"/>
                <w:sz w:val="20"/>
                <w:szCs w:val="20"/>
              </w:rPr>
              <w:t xml:space="preserve">Speaker age range</w:t>
            </w:r>
          </w:p>
        </w:tc>
      </w:tr>
      <w:tr>
        <w:tc>
          <w:tcPr>
            <w:tcW w:type="dxa" w:w="2600"/>
          </w:tcPr>
          <w:p>
            <w:r>
              <w:rPr>
                <w:b w:val="false"/>
                <w:bCs w:val="false"/>
                <w:sz w:val="20"/>
                <w:szCs w:val="20"/>
              </w:rPr>
              <w:t xml:space="preserve">dialect_region</w:t>
            </w:r>
          </w:p>
        </w:tc>
        <w:tc>
          <w:tcPr>
            <w:tcW w:type="dxa" w:w="6400"/>
          </w:tcPr>
          <w:p>
            <w:r>
              <w:rPr>
                <w:b w:val="false"/>
                <w:bCs w:val="false"/>
                <w:sz w:val="20"/>
                <w:szCs w:val="20"/>
              </w:rPr>
              <w:t xml:space="preserve">Kathmandu valley, Terai, hill dialects, etc.</w:t>
            </w:r>
          </w:p>
        </w:tc>
      </w:tr>
      <w:tr>
        <w:tc>
          <w:tcPr>
            <w:tcW w:type="dxa" w:w="2600"/>
          </w:tcPr>
          <w:p>
            <w:r>
              <w:rPr>
                <w:b w:val="false"/>
                <w:bCs w:val="false"/>
                <w:sz w:val="20"/>
                <w:szCs w:val="20"/>
              </w:rPr>
              <w:t xml:space="preserve">audio clip (A), audio clip (B)</w:t>
            </w:r>
          </w:p>
        </w:tc>
        <w:tc>
          <w:tcPr>
            <w:tcW w:type="dxa" w:w="6400"/>
          </w:tcPr>
          <w:p>
            <w:r>
              <w:rPr>
                <w:b w:val="false"/>
                <w:bCs w:val="false"/>
                <w:sz w:val="20"/>
                <w:szCs w:val="20"/>
              </w:rPr>
              <w:t xml:space="preserve">Isolated-word recordings of each member of the pair</w:t>
            </w:r>
          </w:p>
        </w:tc>
      </w:tr>
      <w:tr>
        <w:tc>
          <w:tcPr>
            <w:tcW w:type="dxa" w:w="2600"/>
          </w:tcPr>
          <w:p>
            <w:r>
              <w:rPr>
                <w:b w:val="false"/>
                <w:bCs w:val="false"/>
                <w:sz w:val="20"/>
                <w:szCs w:val="20"/>
              </w:rPr>
              <w:t xml:space="preserve">carrier sentence (optional)</w:t>
            </w:r>
          </w:p>
        </w:tc>
        <w:tc>
          <w:tcPr>
            <w:tcW w:type="dxa" w:w="6400"/>
          </w:tcPr>
          <w:p>
            <w:r>
              <w:rPr>
                <w:b w:val="false"/>
                <w:bCs w:val="false"/>
                <w:sz w:val="20"/>
                <w:szCs w:val="20"/>
              </w:rPr>
              <w:t xml:space="preserve">Same pair spoken in a short sentence context, since isolated-word and in-context confusability differ</w:t>
            </w:r>
          </w:p>
        </w:tc>
      </w:tr>
      <w:tr>
        <w:tc>
          <w:tcPr>
            <w:tcW w:type="dxa" w:w="2600"/>
          </w:tcPr>
          <w:p>
            <w:r>
              <w:rPr>
                <w:b w:val="false"/>
                <w:bCs w:val="false"/>
                <w:sz w:val="20"/>
                <w:szCs w:val="20"/>
              </w:rPr>
              <w:t xml:space="preserve">confusion_type</w:t>
            </w:r>
          </w:p>
        </w:tc>
        <w:tc>
          <w:tcPr>
            <w:tcW w:type="dxa" w:w="6400"/>
          </w:tcPr>
          <w:p>
            <w:r>
              <w:rPr>
                <w:b w:val="false"/>
                <w:bCs w:val="false"/>
                <w:sz w:val="20"/>
                <w:szCs w:val="20"/>
              </w:rPr>
              <w:t xml:space="preserve">Minimal phoneme contrast (retroflex/dental, aspirated/unaspirated, vowel length), orthographic/visual similarity, or frequency-driven ASR bias</w:t>
            </w:r>
          </w:p>
        </w:tc>
      </w:tr>
    </w:tbl>
    <w:p>
      <w:pPr>
        <w:spacing w:after="200"/>
      </w:pPr>
    </w:p>
    <w:p>
      <w:pPr>
        <w:pStyle w:val="Heading1"/>
        <w:spacing w:after="150" w:before="300"/>
      </w:pPr>
      <w:r>
        <w:t xml:space="preserve">5. Data Collection Plan</w:t>
      </w:r>
    </w:p>
    <w:p>
      <w:pPr>
        <w:spacing w:after="150"/>
      </w:pPr>
      <w:r>
        <w:t xml:space="preserve">Target: 300–500 clips total. The plan favors fewer pairs recorded by more speakers over more pairs with a single speaker, since speaker variation — not isolated-word clarity — is what actually stresses a confusability model:</w:t>
      </w:r>
    </w:p>
    <w:p>
      <w:pPr>
        <w:pStyle w:val="ListParagraph"/>
        <w:numPr>
          <w:ilvl w:val="0"/>
          <w:numId w:val="3"/>
        </w:numPr>
        <w:spacing w:after="60"/>
      </w:pPr>
      <w:r>
        <w:t xml:space="preserve">~50 confusable word pairs</w:t>
      </w:r>
    </w:p>
    <w:p>
      <w:pPr>
        <w:pStyle w:val="ListParagraph"/>
        <w:numPr>
          <w:ilvl w:val="0"/>
          <w:numId w:val="3"/>
        </w:numPr>
        <w:spacing w:after="60"/>
      </w:pPr>
      <w:r>
        <w:t xml:space="preserve">5–8 speakers per pair</w:t>
      </w:r>
    </w:p>
    <w:p>
      <w:pPr>
        <w:pStyle w:val="ListParagraph"/>
        <w:numPr>
          <w:ilvl w:val="0"/>
          <w:numId w:val="3"/>
        </w:numPr>
        <w:spacing w:after="60"/>
      </w:pPr>
      <w:r>
        <w:t xml:space="preserve">2 clips per speaker per pair (isolated word A, isolated word B), with optional carrier-sentence recordings</w:t>
      </w:r>
    </w:p>
    <w:p>
      <w:pPr>
        <w:pStyle w:val="Heading1"/>
        <w:spacing w:after="150" w:before="300"/>
      </w:pPr>
      <w:r>
        <w:t xml:space="preserve">6. Seed Pair Generation Methodology</w:t>
      </w:r>
    </w:p>
    <w:p>
      <w:pPr>
        <w:spacing w:after="150"/>
      </w:pPr>
      <w:r>
        <w:t xml:space="preserve">The initial confusable-pair list is generated and filtered in three stages:</w:t>
      </w:r>
    </w:p>
    <w:p>
      <w:pPr>
        <w:pStyle w:val="ListParagraph"/>
        <w:numPr>
          <w:ilvl w:val="0"/>
          <w:numId w:val="4"/>
        </w:numPr>
        <w:spacing w:after="60"/>
      </w:pPr>
      <w:r>
        <w:t xml:space="preserve">Rule-based phonetic edit-distance over SLR54's vocabulary to generate candidate pairs (via a rule-based Devanagari grapheme-to-phoneme mapping).</w:t>
      </w:r>
    </w:p>
    <w:p>
      <w:pPr>
        <w:pStyle w:val="ListParagraph"/>
        <w:numPr>
          <w:ilvl w:val="0"/>
          <w:numId w:val="4"/>
        </w:numPr>
        <w:spacing w:after="60"/>
      </w:pPr>
      <w:r>
        <w:t xml:space="preserve">Manual filtering by the researcher and native speakers to retain pairs that are actually confusable, not just edit-distance-close.</w:t>
      </w:r>
    </w:p>
    <w:p>
      <w:pPr>
        <w:pStyle w:val="ListParagraph"/>
        <w:numPr>
          <w:ilvl w:val="0"/>
          <w:numId w:val="4"/>
        </w:numPr>
        <w:spacing w:after="60"/>
      </w:pPr>
      <w:r>
        <w:t xml:space="preserve">Community additions once the contribution pipeline is live.</w:t>
      </w:r>
    </w:p>
    <w:p>
      <w:pPr>
        <w:pStyle w:val="Heading1"/>
        <w:spacing w:after="150" w:before="300"/>
      </w:pPr>
      <w:r>
        <w:t xml:space="preserve">7. Contribution Pipeline</w:t>
      </w:r>
    </w:p>
    <w:p>
      <w:pPr>
        <w:spacing w:after="150"/>
      </w:pPr>
      <w:r>
        <w:t xml:space="preserve">A lightweight, version-controlled pipeline lets others extend the dataset:</w:t>
      </w:r>
    </w:p>
    <w:p>
      <w:pPr>
        <w:pStyle w:val="ListParagraph"/>
        <w:numPr>
          <w:ilvl w:val="0"/>
          <w:numId w:val="3"/>
        </w:numPr>
        <w:spacing w:after="60"/>
      </w:pPr>
      <w:r>
        <w:t xml:space="preserve">A simple form/script: given a target word, a native speaker (or TTS) records it via phone and uploads it with pair ID and metadata</w:t>
      </w:r>
    </w:p>
    <w:p>
      <w:pPr>
        <w:pStyle w:val="ListParagraph"/>
        <w:numPr>
          <w:ilvl w:val="0"/>
          <w:numId w:val="3"/>
        </w:numPr>
        <w:spacing w:after="60"/>
      </w:pPr>
      <w:r>
        <w:t xml:space="preserve">The curated pair list is version-controlled independently of audio — arguably the most valuable artifact even before all pairs have recordings</w:t>
      </w:r>
    </w:p>
    <w:p>
      <w:pPr>
        <w:pStyle w:val="ListParagraph"/>
        <w:numPr>
          <w:ilvl w:val="0"/>
          <w:numId w:val="3"/>
        </w:numPr>
        <w:spacing w:after="60"/>
      </w:pPr>
      <w:r>
        <w:t xml:space="preserve">Storage layout: pairs.tsv (word_A, word_B, phoneme_A, phoneme_B, confusion_type, source) plus a clips/ directory keyed by pair_id and speaker_id</w:t>
      </w:r>
    </w:p>
    <w:p>
      <w:pPr>
        <w:pStyle w:val="ListParagraph"/>
        <w:numPr>
          <w:ilvl w:val="0"/>
          <w:numId w:val="3"/>
        </w:numPr>
        <w:spacing w:after="60"/>
      </w:pPr>
      <w:r>
        <w:t xml:space="preserve">Structure is git/PR-mergeable, enabling decentralized, incremental contribution</w:t>
      </w:r>
    </w:p>
    <w:p>
      <w:pPr>
        <w:pStyle w:val="Heading1"/>
        <w:spacing w:after="150" w:before="300"/>
      </w:pPr>
      <w:r>
        <w:t xml:space="preserve">8. Disambiguation Method — Classification, Optimization, and Text Mining</w:t>
      </w:r>
    </w:p>
    <w:p>
      <w:pPr>
        <w:pStyle w:val="Heading2"/>
        <w:spacing w:after="100" w:before="200"/>
      </w:pPr>
      <w:r>
        <w:t xml:space="preserve">8.1 Theoretical Framework</w:t>
      </w:r>
    </w:p>
    <w:p>
      <w:pPr>
        <w:pStyle w:val="ListParagraph"/>
        <w:numPr>
          <w:ilvl w:val="0"/>
          <w:numId w:val="3"/>
        </w:numPr>
        <w:spacing w:after="60"/>
      </w:pPr>
      <w:r>
        <w:t xml:space="preserve">Zadeh's fuzzy set theory: membership functions for phonetic closeness between candidate words</w:t>
      </w:r>
    </w:p>
    <w:p>
      <w:pPr>
        <w:pStyle w:val="ListParagraph"/>
        <w:numPr>
          <w:ilvl w:val="0"/>
          <w:numId w:val="3"/>
        </w:numPr>
        <w:spacing w:after="60"/>
      </w:pPr>
      <w:r>
        <w:t xml:space="preserve">Levenshtein edit distance: base string-similarity metric for phonetic/orthographic closeness</w:t>
      </w:r>
    </w:p>
    <w:p>
      <w:pPr>
        <w:pStyle w:val="ListParagraph"/>
        <w:numPr>
          <w:ilvl w:val="0"/>
          <w:numId w:val="3"/>
        </w:numPr>
        <w:spacing w:after="60"/>
      </w:pPr>
      <w:r>
        <w:t xml:space="preserve">Classification theory (e.g., Random Forest per Breiman, or a lightweight neural classifier): the disambiguation model over fuzzy-scored candidates</w:t>
      </w:r>
    </w:p>
    <w:p>
      <w:pPr>
        <w:pStyle w:val="Heading2"/>
        <w:spacing w:after="100" w:before="200"/>
      </w:pPr>
      <w:r>
        <w:t xml:space="preserve">8.2 Pipeline</w:t>
      </w:r>
    </w:p>
    <w:p>
      <w:pPr>
        <w:spacing w:after="150"/>
      </w:pPr>
      <w:r>
        <w:t xml:space="preserve">Fuzzy phonetic-similarity scoring → feature extraction (edit distance, phonetic embeddings, context n-grams, text-mined corpus statistics) → classifier → hyperparameter optimization (grid or Bayesian search). This hybrid design is justified against pure deep-learning re-rankers by the low-resource data constraint: with sparse Nepali training data, crisp/hard string matching misses near-miss phonetic errors that a fuzzy membership function captures.</w:t>
      </w:r>
    </w:p>
    <w:p>
      <w:pPr>
        <w:pStyle w:val="Heading2"/>
        <w:spacing w:after="100" w:before="200"/>
      </w:pPr>
      <w:r>
        <w:t xml:space="preserve">8.3 Evaluation</w:t>
      </w:r>
    </w:p>
    <w:p>
      <w:pPr>
        <w:pStyle w:val="ListParagraph"/>
        <w:numPr>
          <w:ilvl w:val="0"/>
          <w:numId w:val="3"/>
        </w:numPr>
        <w:spacing w:after="60"/>
      </w:pPr>
      <w:r>
        <w:t xml:space="preserve">Classifier accuracy / F1, precision, recall per confusable-word class</w:t>
      </w:r>
    </w:p>
    <w:p>
      <w:pPr>
        <w:pStyle w:val="ListParagraph"/>
        <w:numPr>
          <w:ilvl w:val="0"/>
          <w:numId w:val="3"/>
        </w:numPr>
        <w:spacing w:after="60"/>
      </w:pPr>
      <w:r>
        <w:t xml:space="preserve">CER/WER before vs. after disambiguation, compared against a non-fuzzy (crisp) baseline</w:t>
      </w:r>
    </w:p>
    <w:p>
      <w:pPr>
        <w:pStyle w:val="ListParagraph"/>
        <w:numPr>
          <w:ilvl w:val="0"/>
          <w:numId w:val="3"/>
        </w:numPr>
        <w:spacing w:after="60"/>
      </w:pPr>
      <w:r>
        <w:t xml:space="preserve">Ablation of the fuzzy component vs. a hard-threshold equivalent</w:t>
      </w:r>
    </w:p>
    <w:p>
      <w:pPr>
        <w:pStyle w:val="ListParagraph"/>
        <w:numPr>
          <w:ilvl w:val="0"/>
          <w:numId w:val="3"/>
        </w:numPr>
        <w:spacing w:after="60"/>
      </w:pPr>
      <w:r>
        <w:t xml:space="preserve">Benchmarking against reported figures in prior work — e.g. Cai et al.'s 94.69% polyphone accuracy, SoftCorrect's 26.1%/9.4% CER reduction — as external reference points, not direct comparisons</w:t>
      </w:r>
    </w:p>
    <w:p>
      <w:pPr>
        <w:pStyle w:val="Heading1"/>
        <w:spacing w:after="150" w:before="300"/>
      </w:pPr>
      <w:r>
        <w:t xml:space="preserve">9. Paper Structure and Length Plan</w:t>
      </w:r>
    </w:p>
    <w:p>
      <w:pPr>
        <w:spacing w:after="150"/>
      </w:pPr>
      <w:r>
        <w:t xml:space="preserve">Comparable papers in this field (Bora et al. 2019, Cai et al. 2019, Zhang et al. 2020, Ghimire et al. 2024, Paudel et al. 2023) average ~4,900 words. Target length: ~5,000–6,500 words, matching a conference/workshop-style ASR/NLP paper rather than a long journal article.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00"/>
      </w:tblGrid>
      <w:tr>
        <w:tc>
          <w:tcPr>
            <w:tcW w:type="dxa" w:w="2400"/>
            <w:shd w:fill="D9E2F3" w:color="auto" w:val="clear"/>
          </w:tcPr>
          <w:p>
            <w:r>
              <w:rPr>
                <w:b/>
                <w:bCs/>
                <w:sz w:val="20"/>
                <w:szCs w:val="20"/>
              </w:rPr>
              <w:t xml:space="preserve">Section</w:t>
            </w:r>
          </w:p>
        </w:tc>
        <w:tc>
          <w:tcPr>
            <w:tcW w:type="dxa" w:w="1400"/>
            <w:shd w:fill="D9E2F3" w:color="auto" w:val="clear"/>
          </w:tcPr>
          <w:p>
            <w:r>
              <w:rPr>
                <w:b/>
                <w:bCs/>
                <w:sz w:val="20"/>
                <w:szCs w:val="20"/>
              </w:rPr>
              <w:t xml:space="preserve">Length</w:t>
            </w:r>
          </w:p>
        </w:tc>
        <w:tc>
          <w:tcPr>
            <w:tcW w:type="dxa" w:w="5200"/>
            <w:shd w:fill="D9E2F3" w:color="auto" w:val="clear"/>
          </w:tcPr>
          <w:p>
            <w:r>
              <w:rPr>
                <w:b/>
                <w:bCs/>
                <w:sz w:val="20"/>
                <w:szCs w:val="20"/>
              </w:rPr>
              <w:t xml:space="preserve">Content</w:t>
            </w:r>
          </w:p>
        </w:tc>
      </w:tr>
      <w:tr>
        <w:tc>
          <w:tcPr>
            <w:tcW w:type="dxa" w:w="2400"/>
          </w:tcPr>
          <w:p>
            <w:r>
              <w:rPr>
                <w:b w:val="false"/>
                <w:bCs w:val="false"/>
                <w:sz w:val="20"/>
                <w:szCs w:val="20"/>
              </w:rPr>
              <w:t xml:space="preserve">Introduction</w:t>
            </w:r>
          </w:p>
        </w:tc>
        <w:tc>
          <w:tcPr>
            <w:tcW w:type="dxa" w:w="1400"/>
          </w:tcPr>
          <w:p>
            <w:r>
              <w:rPr>
                <w:b w:val="false"/>
                <w:bCs w:val="false"/>
                <w:sz w:val="20"/>
                <w:szCs w:val="20"/>
              </w:rPr>
              <w:t xml:space="preserve">450–700 w</w:t>
            </w:r>
          </w:p>
        </w:tc>
        <w:tc>
          <w:tcPr>
            <w:tcW w:type="dxa" w:w="5200"/>
          </w:tcPr>
          <w:p>
            <w:r>
              <w:rPr>
                <w:b w:val="false"/>
                <w:bCs w:val="false"/>
                <w:sz w:val="20"/>
                <w:szCs w:val="20"/>
              </w:rPr>
              <w:t xml:space="preserve">Importance, brief lit. context, research gap, aim, contributions, roadmap, key-term definitions</w:t>
            </w:r>
          </w:p>
        </w:tc>
      </w:tr>
      <w:tr>
        <w:tc>
          <w:tcPr>
            <w:tcW w:type="dxa" w:w="2400"/>
          </w:tcPr>
          <w:p>
            <w:r>
              <w:rPr>
                <w:b w:val="false"/>
                <w:bCs w:val="false"/>
                <w:sz w:val="20"/>
                <w:szCs w:val="20"/>
              </w:rPr>
              <w:t xml:space="preserve">Literature Review</w:t>
            </w:r>
          </w:p>
        </w:tc>
        <w:tc>
          <w:tcPr>
            <w:tcW w:type="dxa" w:w="1400"/>
          </w:tcPr>
          <w:p>
            <w:r>
              <w:rPr>
                <w:b w:val="false"/>
                <w:bCs w:val="false"/>
                <w:sz w:val="20"/>
                <w:szCs w:val="20"/>
              </w:rPr>
              <w:t xml:space="preserve">900–1,200 w</w:t>
            </w:r>
          </w:p>
        </w:tc>
        <w:tc>
          <w:tcPr>
            <w:tcW w:type="dxa" w:w="5200"/>
          </w:tcPr>
          <w:p>
            <w:r>
              <w:rPr>
                <w:b w:val="false"/>
                <w:bCs w:val="false"/>
                <w:sz w:val="20"/>
                <w:szCs w:val="20"/>
              </w:rPr>
              <w:t xml:space="preserve">Four pillars (fuzzy+phonetic+ASR; ASR post-processing; Nepali/Indic NLP; ML foundations) plus critical analysis of the gap</w:t>
            </w:r>
          </w:p>
        </w:tc>
      </w:tr>
      <w:tr>
        <w:tc>
          <w:tcPr>
            <w:tcW w:type="dxa" w:w="2400"/>
          </w:tcPr>
          <w:p>
            <w:r>
              <w:rPr>
                <w:b w:val="false"/>
                <w:bCs w:val="false"/>
                <w:sz w:val="20"/>
                <w:szCs w:val="20"/>
              </w:rPr>
              <w:t xml:space="preserve">Theoretical Framework</w:t>
            </w:r>
          </w:p>
        </w:tc>
        <w:tc>
          <w:tcPr>
            <w:tcW w:type="dxa" w:w="1400"/>
          </w:tcPr>
          <w:p>
            <w:r>
              <w:rPr>
                <w:b w:val="false"/>
                <w:bCs w:val="false"/>
                <w:sz w:val="20"/>
                <w:szCs w:val="20"/>
              </w:rPr>
              <w:t xml:space="preserve">250–400 w</w:t>
            </w:r>
          </w:p>
        </w:tc>
        <w:tc>
          <w:tcPr>
            <w:tcW w:type="dxa" w:w="5200"/>
          </w:tcPr>
          <w:p>
            <w:r>
              <w:rPr>
                <w:b w:val="false"/>
                <w:bCs w:val="false"/>
                <w:sz w:val="20"/>
                <w:szCs w:val="20"/>
              </w:rPr>
              <w:t xml:space="preserve">Zadeh fuzzy sets, Levenshtein distance, classification theory</w:t>
            </w:r>
          </w:p>
        </w:tc>
      </w:tr>
      <w:tr>
        <w:tc>
          <w:tcPr>
            <w:tcW w:type="dxa" w:w="2400"/>
          </w:tcPr>
          <w:p>
            <w:r>
              <w:rPr>
                <w:b w:val="false"/>
                <w:bCs w:val="false"/>
                <w:sz w:val="20"/>
                <w:szCs w:val="20"/>
              </w:rPr>
              <w:t xml:space="preserve">Methodology</w:t>
            </w:r>
          </w:p>
        </w:tc>
        <w:tc>
          <w:tcPr>
            <w:tcW w:type="dxa" w:w="1400"/>
          </w:tcPr>
          <w:p>
            <w:r>
              <w:rPr>
                <w:b w:val="false"/>
                <w:bCs w:val="false"/>
                <w:sz w:val="20"/>
                <w:szCs w:val="20"/>
              </w:rPr>
              <w:t xml:space="preserve">900–1,300 w</w:t>
            </w:r>
          </w:p>
        </w:tc>
        <w:tc>
          <w:tcPr>
            <w:tcW w:type="dxa" w:w="5200"/>
          </w:tcPr>
          <w:p>
            <w:r>
              <w:rPr>
                <w:b w:val="false"/>
                <w:bCs w:val="false"/>
                <w:sz w:val="20"/>
                <w:szCs w:val="20"/>
              </w:rPr>
              <w:t xml:space="preserve">Pipeline, dataset, tools, procedures, data-analysis techniques</w:t>
            </w:r>
          </w:p>
        </w:tc>
      </w:tr>
      <w:tr>
        <w:tc>
          <w:tcPr>
            <w:tcW w:type="dxa" w:w="2400"/>
          </w:tcPr>
          <w:p>
            <w:r>
              <w:rPr>
                <w:b w:val="false"/>
                <w:bCs w:val="false"/>
                <w:sz w:val="20"/>
                <w:szCs w:val="20"/>
              </w:rPr>
              <w:t xml:space="preserve">Results</w:t>
            </w:r>
          </w:p>
        </w:tc>
        <w:tc>
          <w:tcPr>
            <w:tcW w:type="dxa" w:w="1400"/>
          </w:tcPr>
          <w:p>
            <w:r>
              <w:rPr>
                <w:b w:val="false"/>
                <w:bCs w:val="false"/>
                <w:sz w:val="20"/>
                <w:szCs w:val="20"/>
              </w:rPr>
              <w:t xml:space="preserve">1,200–1,800 w</w:t>
            </w:r>
          </w:p>
        </w:tc>
        <w:tc>
          <w:tcPr>
            <w:tcW w:type="dxa" w:w="5200"/>
          </w:tcPr>
          <w:p>
            <w:r>
              <w:rPr>
                <w:b w:val="false"/>
                <w:bCs w:val="false"/>
                <w:sz w:val="20"/>
                <w:szCs w:val="20"/>
              </w:rPr>
              <w:t xml:space="preserve">Classifier metrics, CER/WER gains, confusion matrix, ablation table, comparison with literature</w:t>
            </w:r>
          </w:p>
        </w:tc>
      </w:tr>
      <w:tr>
        <w:tc>
          <w:tcPr>
            <w:tcW w:type="dxa" w:w="2400"/>
          </w:tcPr>
          <w:p>
            <w:r>
              <w:rPr>
                <w:b w:val="false"/>
                <w:bCs w:val="false"/>
                <w:sz w:val="20"/>
                <w:szCs w:val="20"/>
              </w:rPr>
              <w:t xml:space="preserve">Discussion</w:t>
            </w:r>
          </w:p>
        </w:tc>
        <w:tc>
          <w:tcPr>
            <w:tcW w:type="dxa" w:w="1400"/>
          </w:tcPr>
          <w:p>
            <w:r>
              <w:rPr>
                <w:b w:val="false"/>
                <w:bCs w:val="false"/>
                <w:sz w:val="20"/>
                <w:szCs w:val="20"/>
              </w:rPr>
              <w:t xml:space="preserve">500–800 w</w:t>
            </w:r>
          </w:p>
        </w:tc>
        <w:tc>
          <w:tcPr>
            <w:tcW w:type="dxa" w:w="5200"/>
          </w:tcPr>
          <w:p>
            <w:r>
              <w:rPr>
                <w:b w:val="false"/>
                <w:bCs w:val="false"/>
                <w:sz w:val="20"/>
                <w:szCs w:val="20"/>
              </w:rPr>
              <w:t xml:space="preserve">Why fuzzy scoring helps in low-resource Devanagari settings; implications for downstream applications</w:t>
            </w:r>
          </w:p>
        </w:tc>
      </w:tr>
      <w:tr>
        <w:tc>
          <w:tcPr>
            <w:tcW w:type="dxa" w:w="2400"/>
          </w:tcPr>
          <w:p>
            <w:r>
              <w:rPr>
                <w:b w:val="false"/>
                <w:bCs w:val="false"/>
                <w:sz w:val="20"/>
                <w:szCs w:val="20"/>
              </w:rPr>
              <w:t xml:space="preserve">Conclusion</w:t>
            </w:r>
          </w:p>
        </w:tc>
        <w:tc>
          <w:tcPr>
            <w:tcW w:type="dxa" w:w="1400"/>
          </w:tcPr>
          <w:p>
            <w:r>
              <w:rPr>
                <w:b w:val="false"/>
                <w:bCs w:val="false"/>
                <w:sz w:val="20"/>
                <w:szCs w:val="20"/>
              </w:rPr>
              <w:t xml:space="preserve">450–700 w</w:t>
            </w:r>
          </w:p>
        </w:tc>
        <w:tc>
          <w:tcPr>
            <w:tcW w:type="dxa" w:w="5200"/>
          </w:tcPr>
          <w:p>
            <w:r>
              <w:rPr>
                <w:b w:val="false"/>
                <w:bCs w:val="false"/>
                <w:sz w:val="20"/>
                <w:szCs w:val="20"/>
              </w:rPr>
              <w:t xml:space="preserve">Recap, practical implications, limitations, future work</w:t>
            </w:r>
          </w:p>
        </w:tc>
      </w:tr>
    </w:tbl>
    <w:p>
      <w:pPr>
        <w:spacing w:after="200"/>
      </w:pPr>
    </w:p>
    <w:p>
      <w:pPr>
        <w:pStyle w:val="Heading1"/>
        <w:spacing w:after="150" w:before="300"/>
      </w:pPr>
      <w:r>
        <w:t xml:space="preserve">10. Reference Allocation (Target: ~18–22 references)</w:t>
      </w:r>
    </w:p>
    <w:p>
      <w:pPr>
        <w:pStyle w:val="ListParagraph"/>
        <w:numPr>
          <w:ilvl w:val="0"/>
          <w:numId w:val="3"/>
        </w:numPr>
        <w:spacing w:after="60"/>
      </w:pPr>
      <w:r>
        <w:t xml:space="preserve">Tier 1 — cite all (7): fuzzy-phonetic-ASR intersection papers (Bora et al.; 1996 fuzzy acoustic-phonetic decoder; Jain et al. 2025; Jain/Jindal/Jain 2024; 2022 IEEE N-best/phonetic paper; Graph-Based Phonetic Error Correction preprint; PARCO preprint)</w:t>
      </w:r>
    </w:p>
    <w:p>
      <w:pPr>
        <w:pStyle w:val="ListParagraph"/>
        <w:numPr>
          <w:ilvl w:val="0"/>
          <w:numId w:val="3"/>
        </w:numPr>
        <w:spacing w:after="60"/>
      </w:pPr>
      <w:r>
        <w:t xml:space="preserve">Tier 2 — cite ~4–5: ASR post-processing/re-ranking (HyPoradise; SoftCorrect; German-homophone acoustic-features study; Mandarin polyphone disambiguation)</w:t>
      </w:r>
    </w:p>
    <w:p>
      <w:pPr>
        <w:pStyle w:val="ListParagraph"/>
        <w:numPr>
          <w:ilvl w:val="0"/>
          <w:numId w:val="3"/>
        </w:numPr>
        <w:spacing w:after="60"/>
      </w:pPr>
      <w:r>
        <w:t xml:space="preserve">Tier 3 — cite all Nepali/Indic (6–7): Ghimire survey; Whisper-Nepali finetuning; NepBERTa; LDK-2023 Nepali CNN-Transformer ASR; DPCSpell; Vartani Spellcheck; Vashishtha fuzzy-logic-in-text-mining review</w:t>
      </w:r>
    </w:p>
    <w:p>
      <w:pPr>
        <w:pStyle w:val="ListParagraph"/>
        <w:numPr>
          <w:ilvl w:val="0"/>
          <w:numId w:val="3"/>
        </w:numPr>
        <w:spacing w:after="60"/>
      </w:pPr>
      <w:r>
        <w:t xml:space="preserve">Tier 4 — anchors: Zadeh (fuzzy sets); Levenshtein (edit distance); Breiman (Random Forest); Mikolov (word2vec); Sharma et al. (Phonetic Word Embeddings); Whisper (Radford et al.); Bayesian HPO paper if optimization is a substantive contribution</w:t>
      </w:r>
    </w:p>
    <w:p>
      <w:pPr>
        <w:pStyle w:val="Heading1"/>
        <w:spacing w:after="150" w:before="300"/>
      </w:pPr>
      <w:r>
        <w:t xml:space="preserve">11. Timeline (14-Day Cap)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color="auto" w:val="clear"/>
          </w:tcPr>
          <w:p>
            <w:r>
              <w:rPr>
                <w:b/>
                <w:bCs/>
                <w:sz w:val="20"/>
                <w:szCs w:val="20"/>
              </w:rPr>
              <w:t xml:space="preserve">Days</w:t>
            </w:r>
          </w:p>
        </w:tc>
        <w:tc>
          <w:tcPr>
            <w:tcW w:type="dxa" w:w="6800"/>
            <w:shd w:fill="D9E2F3" w:color="auto" w:val="clear"/>
          </w:tcPr>
          <w:p>
            <w:r>
              <w:rPr>
                <w:b/>
                <w:bCs/>
                <w:sz w:val="20"/>
                <w:szCs w:val="20"/>
              </w:rPr>
              <w:t xml:space="preserve">Activities</w:t>
            </w:r>
          </w:p>
        </w:tc>
      </w:tr>
      <w:tr>
        <w:tc>
          <w:tcPr>
            <w:tcW w:type="dxa" w:w="2200"/>
          </w:tcPr>
          <w:p>
            <w:r>
              <w:rPr>
                <w:b w:val="false"/>
                <w:bCs w:val="false"/>
                <w:sz w:val="20"/>
                <w:szCs w:val="20"/>
              </w:rPr>
              <w:t xml:space="preserve">Days 1–2</w:t>
            </w:r>
          </w:p>
        </w:tc>
        <w:tc>
          <w:tcPr>
            <w:tcW w:type="dxa" w:w="6800"/>
          </w:tcPr>
          <w:p>
            <w:r>
              <w:rPr>
                <w:b w:val="false"/>
                <w:bCs w:val="false"/>
                <w:sz w:val="20"/>
                <w:szCs w:val="20"/>
              </w:rPr>
              <w:t xml:space="preserve">Vocabulary extraction from SLR54; build phonetic edit-distance candidate generator; finalize the 5 core Related Work anchors</w:t>
            </w:r>
          </w:p>
        </w:tc>
      </w:tr>
      <w:tr>
        <w:tc>
          <w:tcPr>
            <w:tcW w:type="dxa" w:w="2200"/>
          </w:tcPr>
          <w:p>
            <w:r>
              <w:rPr>
                <w:b w:val="false"/>
                <w:bCs w:val="false"/>
                <w:sz w:val="20"/>
                <w:szCs w:val="20"/>
              </w:rPr>
              <w:t xml:space="preserve">Days 3–4</w:t>
            </w:r>
          </w:p>
        </w:tc>
        <w:tc>
          <w:tcPr>
            <w:tcW w:type="dxa" w:w="6800"/>
          </w:tcPr>
          <w:p>
            <w:r>
              <w:rPr>
                <w:b w:val="false"/>
                <w:bCs w:val="false"/>
                <w:sz w:val="20"/>
                <w:szCs w:val="20"/>
              </w:rPr>
              <w:t xml:space="preserve">Manual filtering of candidate pairs with native speakers; finalize seed pairs.tsv; complete full literature review draft</w:t>
            </w:r>
          </w:p>
        </w:tc>
      </w:tr>
      <w:tr>
        <w:tc>
          <w:tcPr>
            <w:tcW w:type="dxa" w:w="2200"/>
          </w:tcPr>
          <w:p>
            <w:r>
              <w:rPr>
                <w:b w:val="false"/>
                <w:bCs w:val="false"/>
                <w:sz w:val="20"/>
                <w:szCs w:val="20"/>
              </w:rPr>
              <w:t xml:space="preserve">Days 5–6</w:t>
            </w:r>
          </w:p>
        </w:tc>
        <w:tc>
          <w:tcPr>
            <w:tcW w:type="dxa" w:w="6800"/>
          </w:tcPr>
          <w:p>
            <w:r>
              <w:rPr>
                <w:b w:val="false"/>
                <w:bCs w:val="false"/>
                <w:sz w:val="20"/>
                <w:szCs w:val="20"/>
              </w:rPr>
              <w:t xml:space="preserve">Build contribution pipeline (form/script, storage schema, repo structure); draft Methodology and Theoretical Framework sections</w:t>
            </w:r>
          </w:p>
        </w:tc>
      </w:tr>
      <w:tr>
        <w:tc>
          <w:tcPr>
            <w:tcW w:type="dxa" w:w="2200"/>
          </w:tcPr>
          <w:p>
            <w:r>
              <w:rPr>
                <w:b w:val="false"/>
                <w:bCs w:val="false"/>
                <w:sz w:val="20"/>
                <w:szCs w:val="20"/>
              </w:rPr>
              <w:t xml:space="preserve">Days 7–10</w:t>
            </w:r>
          </w:p>
        </w:tc>
        <w:tc>
          <w:tcPr>
            <w:tcW w:type="dxa" w:w="6800"/>
          </w:tcPr>
          <w:p>
            <w:r>
              <w:rPr>
                <w:b w:val="false"/>
                <w:bCs w:val="false"/>
                <w:sz w:val="20"/>
                <w:szCs w:val="20"/>
              </w:rPr>
              <w:t xml:space="preserve">Recruit speakers and collect 300–500 clips across ~50 pairs; implement fuzzy-phonetic scoring, feature extraction, and classifier</w:t>
            </w:r>
          </w:p>
        </w:tc>
      </w:tr>
      <w:tr>
        <w:tc>
          <w:tcPr>
            <w:tcW w:type="dxa" w:w="2200"/>
          </w:tcPr>
          <w:p>
            <w:r>
              <w:rPr>
                <w:b w:val="false"/>
                <w:bCs w:val="false"/>
                <w:sz w:val="20"/>
                <w:szCs w:val="20"/>
              </w:rPr>
              <w:t xml:space="preserve">Days 11–12</w:t>
            </w:r>
          </w:p>
        </w:tc>
        <w:tc>
          <w:tcPr>
            <w:tcW w:type="dxa" w:w="6800"/>
          </w:tcPr>
          <w:p>
            <w:r>
              <w:rPr>
                <w:b w:val="false"/>
                <w:bCs w:val="false"/>
                <w:sz w:val="20"/>
                <w:szCs w:val="20"/>
              </w:rPr>
              <w:t xml:space="preserve">Hyperparameter optimization; run evaluation (accuracy/F1, CER/WER, ablation); quality-review dataset metadata</w:t>
            </w:r>
          </w:p>
        </w:tc>
      </w:tr>
      <w:tr>
        <w:tc>
          <w:tcPr>
            <w:tcW w:type="dxa" w:w="2200"/>
          </w:tcPr>
          <w:p>
            <w:r>
              <w:rPr>
                <w:b w:val="false"/>
                <w:bCs w:val="false"/>
                <w:sz w:val="20"/>
                <w:szCs w:val="20"/>
              </w:rPr>
              <w:t xml:space="preserve">Days 13</w:t>
            </w:r>
          </w:p>
        </w:tc>
        <w:tc>
          <w:tcPr>
            <w:tcW w:type="dxa" w:w="6800"/>
          </w:tcPr>
          <w:p>
            <w:r>
              <w:rPr>
                <w:b w:val="false"/>
                <w:bCs w:val="false"/>
                <w:sz w:val="20"/>
                <w:szCs w:val="20"/>
              </w:rPr>
              <w:t xml:space="preserve">Draft Results, Discussion, and Conclusion sections; package dataset and documentation</w:t>
            </w:r>
          </w:p>
        </w:tc>
      </w:tr>
      <w:tr>
        <w:tc>
          <w:tcPr>
            <w:tcW w:type="dxa" w:w="2200"/>
          </w:tcPr>
          <w:p>
            <w:r>
              <w:rPr>
                <w:b w:val="false"/>
                <w:bCs w:val="false"/>
                <w:sz w:val="20"/>
                <w:szCs w:val="20"/>
              </w:rPr>
              <w:t xml:space="preserve">Day 14</w:t>
            </w:r>
          </w:p>
        </w:tc>
        <w:tc>
          <w:tcPr>
            <w:tcW w:type="dxa" w:w="6800"/>
          </w:tcPr>
          <w:p>
            <w:r>
              <w:rPr>
                <w:b w:val="false"/>
                <w:bCs w:val="false"/>
                <w:sz w:val="20"/>
                <w:szCs w:val="20"/>
              </w:rPr>
              <w:t xml:space="preserve">Final edit pass, reference-list verification, submission</w:t>
            </w:r>
          </w:p>
        </w:tc>
      </w:tr>
    </w:tbl>
    <w:p>
      <w:pPr>
        <w:spacing w:after="200"/>
      </w:pPr>
    </w:p>
    <w:p>
      <w:pPr>
        <w:pStyle w:val="Heading1"/>
        <w:spacing w:after="150" w:before="300"/>
      </w:pPr>
      <w:r>
        <w:t xml:space="preserve">12. Open Items to Resolve Before Drafting</w:t>
      </w:r>
    </w:p>
    <w:p>
      <w:pPr>
        <w:pStyle w:val="ListParagraph"/>
        <w:numPr>
          <w:ilvl w:val="0"/>
          <w:numId w:val="5"/>
        </w:numPr>
        <w:spacing w:after="60"/>
      </w:pPr>
      <w:r>
        <w:t xml:space="preserve">Confirm actual dataset(s) to be used (OpenSLR Nepali clips? in-house transcripts? NepBERTa corpus for text mining?).</w:t>
      </w:r>
    </w:p>
    <w:p>
      <w:pPr>
        <w:pStyle w:val="ListParagraph"/>
        <w:numPr>
          <w:ilvl w:val="0"/>
          <w:numId w:val="5"/>
        </w:numPr>
        <w:spacing w:after="60"/>
      </w:pPr>
      <w:r>
        <w:t xml:space="preserve">Decide classifier family (Random Forest vs. lightweight neural model) — determines whether Breiman and/or Kim (CNN) belong in the Tier 4 references.</w:t>
      </w:r>
    </w:p>
    <w:p>
      <w:pPr>
        <w:pStyle w:val="ListParagraph"/>
        <w:numPr>
          <w:ilvl w:val="0"/>
          <w:numId w:val="5"/>
        </w:numPr>
        <w:spacing w:after="60"/>
      </w:pPr>
      <w:r>
        <w:t xml:space="preserve">Decide whether "optimization" refers to hyperparameter search (keep the Bayesian HPO reference) or to fuzzy-membership-function tuning itself (drop the HPO reference, emphasize Zadeh and a custom optimization description instead).</w:t>
      </w:r>
    </w:p>
    <w:p>
      <w:pPr>
        <w:pStyle w:val="ListParagraph"/>
        <w:numPr>
          <w:ilvl w:val="0"/>
          <w:numId w:val="5"/>
        </w:numPr>
        <w:spacing w:after="60"/>
      </w:pPr>
      <w:r>
        <w:t xml:space="preserve">Confirm whether human-subject/voice data requires an ethics/consent statement in the Methodology section.</w:t>
      </w:r>
    </w:p>
    <w:p>
      <w:pPr>
        <w:pStyle w:val="Heading1"/>
        <w:spacing w:after="150" w:before="300"/>
      </w:pPr>
      <w:r>
        <w:t xml:space="preserve">13. Expected Contributions and Significance</w:t>
      </w:r>
    </w:p>
    <w:p>
      <w:pPr>
        <w:pStyle w:val="ListParagraph"/>
        <w:numPr>
          <w:ilvl w:val="0"/>
          <w:numId w:val="3"/>
        </w:numPr>
        <w:spacing w:after="60"/>
      </w:pPr>
      <w:r>
        <w:t xml:space="preserve">First Nepali speech resource purpose-built for phonemic and orthographic confusability analysis</w:t>
      </w:r>
    </w:p>
    <w:p>
      <w:pPr>
        <w:pStyle w:val="ListParagraph"/>
        <w:numPr>
          <w:ilvl w:val="0"/>
          <w:numId w:val="3"/>
        </w:numPr>
        <w:spacing w:after="60"/>
      </w:pPr>
      <w:r>
        <w:t xml:space="preserve">A reusable, growing, community-extensible confusable-pair list — valuable independent of audio-collection status</w:t>
      </w:r>
    </w:p>
    <w:p>
      <w:pPr>
        <w:pStyle w:val="ListParagraph"/>
        <w:numPr>
          <w:ilvl w:val="0"/>
          <w:numId w:val="3"/>
        </w:numPr>
        <w:spacing w:after="60"/>
      </w:pPr>
      <w:r>
        <w:t xml:space="preserve">A fuzzy-phonetic classification-and-optimization pipeline for confusable-word disambiguation in low-resource ASR, positioned in a genuinely thin prior-work intersection</w:t>
      </w:r>
    </w:p>
    <w:p>
      <w:pPr>
        <w:pStyle w:val="ListParagraph"/>
        <w:numPr>
          <w:ilvl w:val="0"/>
          <w:numId w:val="3"/>
        </w:numPr>
        <w:spacing w:after="60"/>
      </w:pPr>
      <w:r>
        <w:t xml:space="preserve">A dataset structure (pair units with dialect and speaker metadata) that supports downstream ASR error analysis and targeted model fine-tuning</w:t>
      </w:r>
    </w:p>
    <w:p>
      <w:pPr>
        <w:pStyle w:val="ListParagraph"/>
        <w:numPr>
          <w:ilvl w:val="0"/>
          <w:numId w:val="3"/>
        </w:numPr>
        <w:spacing w:after="60"/>
      </w:pPr>
      <w:r>
        <w:t xml:space="preserve">A template contribution pipeline that could generalize to confusability datasets in other low-resource languages</w:t>
      </w:r>
    </w:p>
    <w:p>
      <w:pPr>
        <w:pStyle w:val="Heading1"/>
        <w:spacing w:after="150" w:before="300"/>
      </w:pPr>
      <w:r>
        <w:t xml:space="preserve">References</w:t>
      </w:r>
    </w:p>
    <w:p>
      <w:pPr>
        <w:spacing w:after="150"/>
      </w:pPr>
      <w:r>
        <w:t xml:space="preserve">Full annotated bibliography (25 papers across 4 relevance pillars, with the 5 core anchors listed in Section 2) is maintained in a companion document: compass_artifact_wf-49b0073f-9161-5a8f-b990-faec71b76e2a_text_markdown.md. Final reference list to be finalized per the allocation in Section 10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2026-08-14T07:14:25.028Z</dcterms:created>
  <dcterms:modified xsi:type="dcterms:W3CDTF">2026-08-14T07:14:25.032Z</dcterms:modified>
</cp:coreProperties>
</file>

<file path=docProps/custom.xml><?xml version="1.0" encoding="utf-8"?>
<Properties xmlns="http://schemas.openxmlformats.org/officeDocument/2006/custom-properties" xmlns:vt="http://schemas.openxmlformats.org/officeDocument/2006/docPropsVTypes"/>
</file>