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0"/>
          <w:szCs w:val="30"/>
        </w:rPr>
        <w:t xml:space="preserve">Fuzzy Phonemes — Individual Member Proposals</w:t>
      </w:r>
    </w:p>
    <w:p>
      <w:pPr>
        <w:spacing w:after="400"/>
      </w:pPr>
      <w:r>
        <w:rPr>
          <w:i/>
          <w:iCs/>
          <w:sz w:val="22"/>
          <w:szCs w:val="22"/>
        </w:rPr>
        <w:t xml:space="preserve">Task 1 Proposal, presented per the module's individually-or-as-a-group submission option — one section per member, each describing the project from their own workstream, followed by a system-design-diagram generation prompt for that workstream.</w:t>
      </w:r>
    </w:p>
    <w:p>
      <w:pPr>
        <w:pStyle w:val="Heading1"/>
        <w:spacing w:after="150" w:before="320"/>
      </w:pPr>
      <w:r>
        <w:t xml:space="preserve">Proposal — Bimochan Raj Kunwar</w:t>
      </w:r>
    </w:p>
    <w:p>
      <w:pPr>
        <w:pStyle w:val="Heading2"/>
        <w:spacing w:after="100" w:before="200"/>
      </w:pPr>
      <w:r>
        <w:t xml:space="preserve">Title</w:t>
      </w:r>
    </w:p>
    <w:p>
      <w:pPr>
        <w:spacing w:after="150"/>
      </w:pPr>
      <w:r>
        <w:t xml:space="preserve">Fuzzy Phonemes: Gaussian Process Classification for Disambiguating Confusable Words in Low-Resource Nepali ASR — Feature Design and Classifier Workstream</w:t>
      </w:r>
    </w:p>
    <w:p>
      <w:pPr>
        <w:pStyle w:val="Heading2"/>
        <w:spacing w:after="100" w:before="200"/>
      </w:pPr>
      <w:r>
        <w:t xml:space="preserve">Problem description</w:t>
      </w:r>
    </w:p>
    <w:p>
      <w:pPr>
        <w:spacing w:after="150"/>
      </w:pPr>
      <w:r>
        <w:t xml:space="preserve">Nepali ASR systems frequently misrecognize phonetically similar or confusable words, producing transcripts that read fluently but carry the wrong meaning. My workstream addresses the classification half of the group's project: given a candidate confusable-word error surfaced in ASR output, decide which of the two (or more) candidate words was actually intended. This is treated as a supervised classification problem over a small, hand-engineered numerical feature space rather than as an audio or signal-processing problem - the inputs are distances and scores computed from the ASR hypothesis and reference text, not raw waveforms or spectrograms.</w:t>
      </w:r>
    </w:p>
    <w:p>
      <w:pPr>
        <w:pStyle w:val="Heading2"/>
        <w:spacing w:after="100" w:before="200"/>
      </w:pPr>
      <w:r>
        <w:t xml:space="preserve">Plan of work</w:t>
      </w:r>
    </w:p>
    <w:p>
      <w:pPr>
        <w:spacing w:after="150"/>
      </w:pPr>
      <w:r>
        <w:t xml:space="preserve">I am responsible for the four input features that represent each candidate confusable-word instance - edit-distance similarity, phonetic similarity (a Soundex/Metaphone-style encoding adapted to Nepali retroflex/dental and aspiration contrasts), ASR model confidence, and the topic-informed frequency signal handed off from Sushank's LDA model - and for the Gaussian Process classifier itself: kernel selection (RBF vs. Matern), hyperparameter optimization by marginal likelihood, and evaluation against majority-class and logistic-regression baselines. I built and ran a pilot version of this pipeline ahead of the full data collection finishing, using a manually curated set of 20 real confusable-word pairs with calibrated synthetic feature sampling, specifically to validate the classifier and evaluation code before real ASR-derived features are available from Utsab's data-preparation stage. On that pilot data the GP classifier did not beat the majority-class baseline (0.469 test accuracy for both kernels tested); the pilot report documents this as a mechanics-validation result, not a claimed performance gain, and identifies feeding in real features as the immediate next step.</w:t>
      </w:r>
    </w:p>
    <w:p>
      <w:pPr>
        <w:pStyle w:val="Heading2"/>
        <w:spacing w:after="100" w:before="200"/>
      </w:pPr>
      <w:r>
        <w:t xml:space="preserve">Individual contribution statement</w:t>
      </w:r>
    </w:p>
    <w:p>
      <w:pPr>
        <w:spacing w:after="150"/>
      </w:pPr>
      <w:r>
        <w:t xml:space="preserve">Feature engineering for all four classifier inputs; Gaussian Process classifier implementation, kernel comparison, and hyperparameter justification; evaluation harness (speaker-disjoint grouped train/test split, baseline comparisons); pilot dataset curation (20-pair seed set); related-work synthesis on GP-based and fuzzy-similarity-based confusable-word correction.</w:t>
      </w:r>
    </w:p>
    <w:p>
      <w:pPr>
        <w:pStyle w:val="Heading2"/>
        <w:spacing w:after="100" w:before="200"/>
      </w:pPr>
      <w:r>
        <w:t xml:space="preserve">System design image prompt - Bimochan's workstream</w:t>
      </w:r>
    </w:p>
    <w:p>
      <w:pPr>
        <w:pBdr>
          <w:top w:val="single" w:color="CCCCCC" w:sz="4"/>
          <w:bottom w:val="single" w:color="CCCCCC" w:sz="4"/>
          <w:left w:val="single" w:color="CCCCCC" w:sz="4"/>
          <w:right w:val="single" w:color="CCCCCC" w:sz="4"/>
        </w:pBdr>
        <w:shd w:fill="F2F2F2" w:val="clear"/>
        <w:spacing w:after="250" w:before="100"/>
      </w:pPr>
      <w:r>
        <w:rPr>
          <w:rFonts w:ascii="Consolas" w:cs="Consolas" w:eastAsia="Consolas" w:hAnsi="Consolas"/>
          <w:i/>
          <w:iCs/>
          <w:sz w:val="20"/>
          <w:szCs w:val="20"/>
        </w:rPr>
        <w:t xml:space="preserve">Clean technical system-architecture diagram, left-to-right data flow, white background, flat vector style, muted blue and grey palette, sans-serif labels. Show: (1) an 'ASR hypothesis vs. reference text' input box, feeding into (2) a 'Feature Extraction' stage containing four labelled sub-blocks stacked vertically - 'Edit-distance similarity', 'Phonetic similarity (Nepali G2P)', 'ASR confidence score', 'Topic-informed frequency (from LDA)' - each drawn as a small rounded rectangle with a numeric-vector icon. Arrows from all four sub-blocks converge into (3) a 'Feature Vector (4-D)' box, which feeds into (4) a 'Gaussian Process Classifier' box shown with a small kernel-comparison icon (two overlapping bell-curve glyphs labelled RBF and Matern) and a dotted-line side box labelled 'Baselines: majority-class, logistic regression'. A final arrow leads from the GP box to (5) an output box labelled 'Predicted intended word'. Add a thin dashed rectangle around stages 2-4 labelled 'Bimochan's workstream'. No photorealism, no 3D, no text beyond the specified labels.</w:t>
      </w:r>
    </w:p>
    <w:p>
      <w:pPr>
        <w:pStyle w:val="Heading1"/>
        <w:spacing w:after="150" w:before="320"/>
      </w:pPr>
      <w:r>
        <w:t xml:space="preserve">Proposal - Utsab Dahal</w:t>
      </w:r>
    </w:p>
    <w:p>
      <w:pPr>
        <w:pStyle w:val="Heading2"/>
        <w:spacing w:after="100" w:before="200"/>
      </w:pPr>
      <w:r>
        <w:t xml:space="preserve">Title</w:t>
      </w:r>
    </w:p>
    <w:p>
      <w:pPr>
        <w:spacing w:after="150"/>
      </w:pPr>
      <w:r>
        <w:t xml:space="preserve">Fuzzy Phonemes: Data Preparation and Confusable-Pair Corpus Construction for Nepali ASR Disambiguation - Data Workstream</w:t>
      </w:r>
    </w:p>
    <w:p>
      <w:pPr>
        <w:pStyle w:val="Heading2"/>
        <w:spacing w:after="100" w:before="200"/>
      </w:pPr>
      <w:r>
        <w:t xml:space="preserve">Problem description</w:t>
      </w:r>
    </w:p>
    <w:p>
      <w:pPr>
        <w:spacing w:after="150"/>
      </w:pPr>
      <w:r>
        <w:t xml:space="preserve">No existing dataset labels confusable or near-homophone word pairs for Nepali, and no pronunciation lexicon exists to support phonetic feature extraction. Before the group's Gaussian Process classifier or LDA topic model can run on real data, raw Nepali speech and text must be turned into a clean, speaker-labelled, leakage-free set of confusable-word instances. My workstream is this data layer: assembling the base corpus, running ASR to generate hypotheses, aligning hypotheses to references to mine substitution errors, and building the purpose-collected confusable-pairs dataset that the group's two methods consume.</w:t>
      </w:r>
    </w:p>
    <w:p>
      <w:pPr>
        <w:pStyle w:val="Heading2"/>
        <w:spacing w:after="100" w:before="200"/>
      </w:pPr>
      <w:r>
        <w:t xml:space="preserve">Plan of work</w:t>
      </w:r>
    </w:p>
    <w:p>
      <w:pPr>
        <w:spacing w:after="150"/>
      </w:pPr>
      <w:r>
        <w:t xml:space="preserve">Work proceeds in the stages set out in the group's data collection plan: (1) drawing on OpenSLR SLR54 (~157k Nepali utterances) and SLR43 as the base corpus for vocabulary and frequency statistics and for background ASR fine-tuning; (2) running ASR (a Whisper-based Nepali fine-tune) over held-out audio and aligning hypotheses to references to mine substitution-error confusable pairs, supplemented by a manually seeded and community-extended pair list filtered by phonetic edit-distance and native-speaker review; (3) collecting the purpose-built Layer-2 dataset - isolated-word and carrier-sentence recordings for roughly 50 pairs across 5-8 speakers each, targeting 300-500 clips - with anonymized speaker metadata; and (4) a processing pipeline (quality filtering, resampling/normalization, deduplication, and a speaker-disjoint train/validation/test split so no speaker's clips leak across splits). At the time of the group's pilot report, Layer-2 collection was still in progress, so Bimochan's classifier and Sushank's LDA model were pilot-tested on a small manually curated pair list with calibrated synthetic features rather than the finished corpus; my immediate task is to close that gap by delivering the finished, split, feature-ready dataset.</w:t>
      </w:r>
    </w:p>
    <w:p>
      <w:pPr>
        <w:pStyle w:val="Heading2"/>
        <w:spacing w:after="100" w:before="200"/>
      </w:pPr>
      <w:r>
        <w:t xml:space="preserve">Individual contribution statement</w:t>
      </w:r>
    </w:p>
    <w:p>
      <w:pPr>
        <w:spacing w:after="150"/>
      </w:pPr>
      <w:r>
        <w:t xml:space="preserve">Base-corpus assembly and ASR inference pipeline; hypothesis-reference alignment and substitution-error mining; design and coordination of the Layer-2 confusable-pairs collection (pair seeding, contributor pipeline, metadata schema); quality filtering, normalization, deduplication, and the speaker-disjoint data split used by both the classification and topic-modeling methods; verification that the pilot pipeline's data-preparation assumptions match the finished collection format.</w:t>
      </w:r>
    </w:p>
    <w:p>
      <w:pPr>
        <w:pStyle w:val="Heading2"/>
        <w:spacing w:after="100" w:before="200"/>
      </w:pPr>
      <w:r>
        <w:t xml:space="preserve">System design image prompt - Utsab's workstream</w:t>
      </w:r>
    </w:p>
    <w:p>
      <w:pPr>
        <w:pBdr>
          <w:top w:val="single" w:color="CCCCCC" w:sz="4"/>
          <w:bottom w:val="single" w:color="CCCCCC" w:sz="4"/>
          <w:left w:val="single" w:color="CCCCCC" w:sz="4"/>
          <w:right w:val="single" w:color="CCCCCC" w:sz="4"/>
        </w:pBdr>
        <w:shd w:fill="F2F2F2" w:val="clear"/>
        <w:spacing w:after="250" w:before="100"/>
      </w:pPr>
      <w:r>
        <w:rPr>
          <w:rFonts w:ascii="Consolas" w:cs="Consolas" w:eastAsia="Consolas" w:hAnsi="Consolas"/>
          <w:i/>
          <w:iCs/>
          <w:sz w:val="20"/>
          <w:szCs w:val="20"/>
        </w:rPr>
        <w:t xml:space="preserve">Clean technical pipeline diagram, top-to-bottom flow, white background, flat vector style, muted green and grey palette, sans-serif labels. Show a vertical sequence of five rounded-rectangle stages connected by downward arrows: (1) 'Base Corpus: OpenSLR SLR54 / SLR43' with a small waveform icon, (2) 'ASR Inference (Whisper fine-tune)' with a small microphone-to-text icon, (3) 'Hypothesis-Reference Alignment and Error Mining' with a small two-column comparison icon, (4) 'Layer-2 Collection: confusable-pair clips + speaker metadata' with a small database/folder icon and a side annotation '~50 pairs x 5-8 speakers', (5) 'Processing: quality filter, normalize, dedupe, speaker-disjoint split' ending in three small labelled output boxes side by side - 'Train', 'Validation', 'Test' - each a different shade to show they contain disjoint speaker sets. Add a thin dashed rectangle around all five stages labelled 'Utsab's workstream'. No photorealism, no 3D, no text beyond the specified labels.</w:t>
      </w:r>
    </w:p>
    <w:p>
      <w:pPr>
        <w:pStyle w:val="Heading1"/>
        <w:spacing w:after="150" w:before="320"/>
      </w:pPr>
      <w:r>
        <w:t xml:space="preserve">Proposal - Sushank Pokhrel</w:t>
      </w:r>
    </w:p>
    <w:p>
      <w:pPr>
        <w:pStyle w:val="Heading2"/>
        <w:spacing w:after="100" w:before="200"/>
      </w:pPr>
      <w:r>
        <w:t xml:space="preserve">Title</w:t>
      </w:r>
    </w:p>
    <w:p>
      <w:pPr>
        <w:spacing w:after="150"/>
      </w:pPr>
      <w:r>
        <w:t xml:space="preserve">Fuzzy Phonemes: Topic Modeling and Comparative/Ethical Analysis for Nepali ASR Disambiguation - Topic-Modeling and Evaluation Workstream</w:t>
      </w:r>
    </w:p>
    <w:p>
      <w:pPr>
        <w:pStyle w:val="Heading2"/>
        <w:spacing w:after="100" w:before="200"/>
      </w:pPr>
      <w:r>
        <w:t xml:space="preserve">Problem description</w:t>
      </w:r>
    </w:p>
    <w:p>
      <w:pPr>
        <w:spacing w:after="150"/>
      </w:pPr>
      <w:r>
        <w:t xml:space="preserve">Beyond word-pair-level disambiguation, the noisy ASR transcript corpus as a whole has latent topical structure that can both be analysed in its own right and used to inform disambiguation - a word's plausibility given the surrounding topic is a signal current confusable-word correction methods for Nepali do not exploit. My workstream is the topic-modeling side of the project: applying LDA to the transcript corpus, evaluating topic quality, feeding a topic-informed frequency signal into Bimochan's classifier, and leading the comparative analysis and social/ethical/legal discussion that ties the two methods together.</w:t>
      </w:r>
    </w:p>
    <w:p>
      <w:pPr>
        <w:pStyle w:val="Heading2"/>
        <w:spacing w:after="100" w:before="200"/>
      </w:pPr>
      <w:r>
        <w:t xml:space="preserve">Plan of work</w:t>
      </w:r>
    </w:p>
    <w:p>
      <w:pPr>
        <w:spacing w:after="150"/>
      </w:pPr>
      <w:r>
        <w:t xml:space="preserve">LDA topic modeling is applied to the noisy ASR transcript corpus to uncover latent topic structure, evaluated as a standalone text-mining analysis (via topic coherence, scanned across candidate topic counts rather than fixed arbitrarily) and as a contextual feature (topic-appropriate vocabulary frequency) feeding Bimochan's Gaussian Process classifier. In the group's pilot run, ahead of the full SLR54-derived corpus being ready, I built and evaluated LDA on a small synthetic topic-tagged transcript stand-in; coherence was flat across topic counts (c_v approximately 0.241 for k = 2 to 6), which the pilot report treats as an honest limitation of the placeholder corpus rather than a claim about LDA's suitability for the real data. Once Utsab's base-corpus and Layer-2 processing pipeline delivers real transcripts, this workstream re-runs the same coherence-scan procedure on the real corpus, compares the resulting topic-frequency feature's contribution to classifier accuracy against the no-topic-feature baseline, and writes the group's Social, Ethical, and Legal Considerations section (consent for collected speech data, dialect/speaker representativeness, and downstream error costs in safety-relevant deployments).</w:t>
      </w:r>
    </w:p>
    <w:p>
      <w:pPr>
        <w:pStyle w:val="Heading2"/>
        <w:spacing w:after="100" w:before="200"/>
      </w:pPr>
      <w:r>
        <w:t xml:space="preserve">Individual contribution statement</w:t>
      </w:r>
    </w:p>
    <w:p>
      <w:pPr>
        <w:spacing w:after="150"/>
      </w:pPr>
      <w:r>
        <w:t xml:space="preserve">LDA topic-model implementation and coherence-based topic-count selection; pilot and (pending real data) production transcript-corpus evaluation; comparative analysis of the Gaussian Process and LDA results; authorship of the Social, Ethical, and Legal Considerations section covering consent, representativeness, and downstream deployment risk.</w:t>
      </w:r>
    </w:p>
    <w:p>
      <w:pPr>
        <w:pStyle w:val="Heading2"/>
        <w:spacing w:after="100" w:before="200"/>
      </w:pPr>
      <w:r>
        <w:t xml:space="preserve">System design image prompt - Sushank's workstream</w:t>
      </w:r>
    </w:p>
    <w:p>
      <w:pPr>
        <w:pBdr>
          <w:top w:val="single" w:color="CCCCCC" w:sz="4"/>
          <w:bottom w:val="single" w:color="CCCCCC" w:sz="4"/>
          <w:left w:val="single" w:color="CCCCCC" w:sz="4"/>
          <w:right w:val="single" w:color="CCCCCC" w:sz="4"/>
        </w:pBdr>
        <w:shd w:fill="F2F2F2" w:val="clear"/>
        <w:spacing w:after="250" w:before="100"/>
      </w:pPr>
      <w:r>
        <w:rPr>
          <w:rFonts w:ascii="Consolas" w:cs="Consolas" w:eastAsia="Consolas" w:hAnsi="Consolas"/>
          <w:i/>
          <w:iCs/>
          <w:sz w:val="20"/>
          <w:szCs w:val="20"/>
        </w:rPr>
        <w:t xml:space="preserve">Clean technical system diagram, white background, flat vector style, muted purple and grey palette, sans-serif labels. Center-left: a 'Transcript Corpus' box with a stack-of-documents icon, feeding into an 'LDA Topic Model' box containing a small cluster-of-dots icon representing topic groupings, labelled with a side note 'coherence scan k=2..6'. From the LDA box, two arrows branch: one upward to a 'Topic Coherence Evaluation' box (a small line-chart icon) labelled 'standalone text-mining analysis', and one rightward to a 'Topic-Informed Frequency Feature' box (a small bar-chart icon) that exits the diagram toward a dotted-line box labelled 'To Bimochan's GP classifier'. Below the LDA box, a separate branch leads to a 'Comparative Analysis' box (a small balance-scale icon) and then to a 'Social / Ethical / Legal Considerations' box (a small shield-checkmark icon). Add a thin dashed rectangle around the whole diagram labelled 'Sushank's workstream'. No photorealism, no 3D, no text beyond the specified labels.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2026-08-19T04:26:25.641Z</dcterms:created>
  <dcterms:modified xsi:type="dcterms:W3CDTF">2026-08-19T04:26:25.641Z</dcterms:modified>
</cp:coreProperties>
</file>

<file path=docProps/custom.xml><?xml version="1.0" encoding="utf-8"?>
<Properties xmlns="http://schemas.openxmlformats.org/officeDocument/2006/custom-properties" xmlns:vt="http://schemas.openxmlformats.org/officeDocument/2006/docPropsVTypes"/>
</file>